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9CDC8A" w14:textId="5653C428" w:rsidR="0088515A" w:rsidRPr="006F0EA1" w:rsidRDefault="0088515A" w:rsidP="002D3560">
      <w:pPr>
        <w:spacing w:after="0" w:line="240" w:lineRule="auto"/>
        <w:rPr>
          <w:rFonts w:eastAsia="Times New Roman" w:cs="Times New Roman"/>
          <w:b/>
          <w:color w:val="0070C0"/>
          <w:lang w:eastAsia="it-IT"/>
        </w:rPr>
      </w:pPr>
      <w:r w:rsidRPr="006F0EA1">
        <w:rPr>
          <w:rFonts w:eastAsia="Times New Roman" w:cs="Times New Roman"/>
          <w:b/>
          <w:color w:val="0070C0"/>
          <w:lang w:eastAsia="it-IT"/>
        </w:rPr>
        <w:t>1. A</w:t>
      </w:r>
      <w:r w:rsidR="00ED6706">
        <w:rPr>
          <w:rFonts w:eastAsia="Times New Roman" w:cs="Times New Roman"/>
          <w:b/>
          <w:color w:val="0070C0"/>
          <w:lang w:eastAsia="it-IT"/>
        </w:rPr>
        <w:t xml:space="preserve">CQUISIZIONE </w:t>
      </w:r>
      <w:r w:rsidRPr="006F0EA1">
        <w:rPr>
          <w:rFonts w:eastAsia="Times New Roman" w:cs="Times New Roman"/>
          <w:b/>
          <w:color w:val="0070C0"/>
          <w:lang w:eastAsia="it-IT"/>
        </w:rPr>
        <w:t xml:space="preserve">DI </w:t>
      </w:r>
      <w:r w:rsidR="00ED6706">
        <w:rPr>
          <w:rFonts w:eastAsia="Times New Roman" w:cs="Times New Roman"/>
          <w:b/>
          <w:color w:val="0070C0"/>
          <w:lang w:eastAsia="it-IT"/>
        </w:rPr>
        <w:t xml:space="preserve">SERVIZI </w:t>
      </w:r>
      <w:r w:rsidRPr="006F0EA1">
        <w:rPr>
          <w:rFonts w:eastAsia="Times New Roman" w:cs="Times New Roman"/>
          <w:b/>
          <w:color w:val="0070C0"/>
          <w:lang w:eastAsia="it-IT"/>
        </w:rPr>
        <w:t>D</w:t>
      </w:r>
      <w:r w:rsidR="00ED6706">
        <w:rPr>
          <w:rFonts w:eastAsia="Times New Roman" w:cs="Times New Roman"/>
          <w:b/>
          <w:color w:val="0070C0"/>
          <w:lang w:eastAsia="it-IT"/>
        </w:rPr>
        <w:t>A</w:t>
      </w:r>
      <w:r w:rsidRPr="006F0EA1">
        <w:rPr>
          <w:rFonts w:eastAsia="Times New Roman" w:cs="Times New Roman"/>
          <w:b/>
          <w:color w:val="0070C0"/>
          <w:lang w:eastAsia="it-IT"/>
        </w:rPr>
        <w:t xml:space="preserve"> TERZI</w:t>
      </w:r>
    </w:p>
    <w:p w14:paraId="6BC551E1" w14:textId="77777777" w:rsidR="0088515A" w:rsidRPr="006F0EA1" w:rsidRDefault="0088515A" w:rsidP="0088515A">
      <w:pPr>
        <w:spacing w:after="0" w:line="240" w:lineRule="auto"/>
        <w:jc w:val="both"/>
        <w:rPr>
          <w:rFonts w:eastAsia="Times New Roman" w:cs="Times New Roman"/>
          <w:lang w:eastAsia="it-IT"/>
        </w:rPr>
      </w:pPr>
    </w:p>
    <w:p w14:paraId="0BE303FA" w14:textId="3817F9AA" w:rsidR="0088515A" w:rsidRPr="006F0EA1" w:rsidRDefault="12E8EAAE" w:rsidP="006F0EA1">
      <w:pPr>
        <w:autoSpaceDE w:val="0"/>
        <w:autoSpaceDN w:val="0"/>
        <w:adjustRightInd w:val="0"/>
        <w:spacing w:after="120" w:line="240" w:lineRule="auto"/>
        <w:jc w:val="both"/>
        <w:rPr>
          <w:rFonts w:eastAsia="Times New Roman" w:cs="Times New Roman"/>
          <w:lang w:eastAsia="it-IT"/>
        </w:rPr>
      </w:pPr>
      <w:r w:rsidRPr="1DE800DF">
        <w:rPr>
          <w:rFonts w:eastAsia="Times New Roman" w:cs="Times New Roman"/>
          <w:lang w:eastAsia="it-IT"/>
        </w:rPr>
        <w:t>I</w:t>
      </w:r>
      <w:r w:rsidR="0088515A" w:rsidRPr="1DE800DF">
        <w:rPr>
          <w:rFonts w:eastAsia="Times New Roman" w:cs="Times New Roman"/>
          <w:lang w:eastAsia="it-IT"/>
        </w:rPr>
        <w:t>l beneficiario può affidare parte delle attività a soggetti terzi nel rispetto delle disposizioni stabilite dalle Autorità di Gestione, in linea con quanto definito nel presente paragrafo.</w:t>
      </w:r>
    </w:p>
    <w:p w14:paraId="1F1C3C34" w14:textId="1B741EA6" w:rsidR="0088515A" w:rsidRPr="006F0EA1" w:rsidRDefault="0088515A" w:rsidP="00CE6269">
      <w:pPr>
        <w:spacing w:before="120" w:after="120" w:line="240" w:lineRule="auto"/>
        <w:jc w:val="both"/>
        <w:rPr>
          <w:rFonts w:eastAsia="Times New Roman" w:cs="Times New Roman"/>
          <w:lang w:eastAsia="it-IT"/>
        </w:rPr>
      </w:pPr>
      <w:r w:rsidRPr="006F0EA1">
        <w:rPr>
          <w:rFonts w:eastAsia="Times New Roman" w:cs="Times New Roman"/>
          <w:lang w:eastAsia="it-IT"/>
        </w:rPr>
        <w:t>Si tratta di un ambito generale, a cui è possibile ricondurre tutte le ipotesi in cui il beneficiario</w:t>
      </w:r>
      <w:r w:rsidR="005F47D5">
        <w:rPr>
          <w:rFonts w:eastAsia="Times New Roman" w:cs="Times New Roman"/>
          <w:lang w:eastAsia="it-IT"/>
        </w:rPr>
        <w:t>,</w:t>
      </w:r>
      <w:r w:rsidRPr="006F0EA1">
        <w:rPr>
          <w:rFonts w:eastAsia="Times New Roman" w:cs="Times New Roman"/>
          <w:lang w:eastAsia="it-IT"/>
        </w:rPr>
        <w:t xml:space="preserve"> per realizzare una determinata attività (o parte di essa)</w:t>
      </w:r>
      <w:r w:rsidR="000847F1">
        <w:rPr>
          <w:rFonts w:eastAsia="Times New Roman" w:cs="Times New Roman"/>
          <w:lang w:eastAsia="it-IT"/>
        </w:rPr>
        <w:t>,</w:t>
      </w:r>
      <w:r w:rsidRPr="006F0EA1">
        <w:rPr>
          <w:rFonts w:eastAsia="Times New Roman" w:cs="Times New Roman"/>
          <w:lang w:eastAsia="it-IT"/>
        </w:rPr>
        <w:t xml:space="preserve"> necessita di acquisire all’esterno, da soggetti terzi non partner e non persone fisiche, forniture e servizi. </w:t>
      </w:r>
    </w:p>
    <w:p w14:paraId="193E5B14" w14:textId="17D8918F" w:rsidR="008E38EF" w:rsidRPr="006F0EA1" w:rsidRDefault="0088515A" w:rsidP="00CE6269">
      <w:pPr>
        <w:spacing w:before="120" w:after="120" w:line="240" w:lineRule="auto"/>
        <w:jc w:val="both"/>
        <w:rPr>
          <w:rFonts w:eastAsia="Times New Roman" w:cs="Times New Roman"/>
          <w:lang w:eastAsia="it-IT"/>
        </w:rPr>
      </w:pPr>
      <w:r w:rsidRPr="006F0EA1">
        <w:rPr>
          <w:rFonts w:eastAsia="Times New Roman" w:cs="Times New Roman"/>
          <w:lang w:eastAsia="it-IT"/>
        </w:rPr>
        <w:t>Va precisato che non costituiscono fattispecie di a</w:t>
      </w:r>
      <w:r w:rsidR="00ED6706">
        <w:rPr>
          <w:rFonts w:eastAsia="Times New Roman" w:cs="Times New Roman"/>
          <w:lang w:eastAsia="it-IT"/>
        </w:rPr>
        <w:t xml:space="preserve">cquisizione di servizi da </w:t>
      </w:r>
      <w:r w:rsidRPr="006F0EA1">
        <w:rPr>
          <w:rFonts w:eastAsia="Times New Roman" w:cs="Times New Roman"/>
          <w:lang w:eastAsia="it-IT"/>
        </w:rPr>
        <w:t>terzi</w:t>
      </w:r>
      <w:r w:rsidR="008E38EF" w:rsidRPr="006F0EA1">
        <w:rPr>
          <w:rFonts w:eastAsia="Times New Roman" w:cs="Times New Roman"/>
          <w:lang w:eastAsia="it-IT"/>
        </w:rPr>
        <w:t>:</w:t>
      </w:r>
    </w:p>
    <w:p w14:paraId="0838CCFC" w14:textId="70117AAE" w:rsidR="008E38EF" w:rsidRPr="006F0EA1" w:rsidRDefault="008E38EF" w:rsidP="00CE6269">
      <w:pPr>
        <w:spacing w:before="120" w:after="120" w:line="240" w:lineRule="auto"/>
        <w:ind w:left="567"/>
        <w:jc w:val="both"/>
        <w:rPr>
          <w:rFonts w:eastAsia="Times New Roman" w:cs="Times New Roman"/>
          <w:lang w:eastAsia="it-IT"/>
        </w:rPr>
      </w:pPr>
      <w:r w:rsidRPr="006F0EA1">
        <w:rPr>
          <w:rFonts w:eastAsia="Times New Roman" w:cs="Times New Roman"/>
          <w:lang w:eastAsia="it-IT"/>
        </w:rPr>
        <w:t xml:space="preserve">- gli incarichi affidati a persone fisiche attraverso contratti di prestazione o collaborazione individuale; </w:t>
      </w:r>
    </w:p>
    <w:p w14:paraId="061C944D" w14:textId="77777777" w:rsidR="008E38EF" w:rsidRPr="006F0EA1" w:rsidRDefault="008E38EF" w:rsidP="00CE6269">
      <w:pPr>
        <w:spacing w:before="120" w:after="120" w:line="240" w:lineRule="auto"/>
        <w:ind w:left="567"/>
        <w:jc w:val="both"/>
        <w:rPr>
          <w:rFonts w:eastAsia="Times New Roman" w:cs="Times New Roman"/>
          <w:lang w:eastAsia="it-IT"/>
        </w:rPr>
      </w:pPr>
      <w:r w:rsidRPr="006F0EA1">
        <w:rPr>
          <w:rFonts w:eastAsia="Times New Roman" w:cs="Times New Roman"/>
          <w:lang w:eastAsia="it-IT"/>
        </w:rPr>
        <w:t xml:space="preserve">- gli incarichi affidati a persone fisiche titolari di partita IVA (anche ditte individuali), solamente nel caso in cui la prestazione venga svolta esclusivamente dal titolare medesimo e se per lo svolgimento dell’incarico (es. docenza) non si ricorre all’utilizzo della struttura e dei beni organizzati che costituiscono l’azienda stessa. </w:t>
      </w:r>
    </w:p>
    <w:p w14:paraId="1171FCA8" w14:textId="77777777" w:rsidR="008E38EF" w:rsidRPr="006F0EA1" w:rsidRDefault="008E38EF" w:rsidP="00CE6269">
      <w:pPr>
        <w:spacing w:before="120" w:after="120" w:line="240" w:lineRule="auto"/>
        <w:ind w:left="567"/>
        <w:jc w:val="both"/>
        <w:rPr>
          <w:rFonts w:eastAsia="Times New Roman" w:cs="Times New Roman"/>
          <w:lang w:eastAsia="it-IT"/>
        </w:rPr>
      </w:pPr>
      <w:r w:rsidRPr="006F0EA1">
        <w:rPr>
          <w:rFonts w:eastAsia="Times New Roman" w:cs="Times New Roman"/>
          <w:lang w:eastAsia="it-IT"/>
        </w:rPr>
        <w:t>- gli incarichi professionali a studi associati se costituiti, in conformità alla legge 23 novembre 1933, n. 1815, anteriormente alla legge 12 novembre 2011, n.183 e, pertanto, operanti salvaguardando i principi della responsabilità professionale e deontologica in capo al professionista che svolge l’incarico;</w:t>
      </w:r>
    </w:p>
    <w:p w14:paraId="5CF672B9" w14:textId="77777777" w:rsidR="0041321D" w:rsidRPr="006F0EA1" w:rsidRDefault="008E38EF" w:rsidP="00CE6269">
      <w:pPr>
        <w:spacing w:before="120" w:after="120" w:line="240" w:lineRule="auto"/>
        <w:ind w:left="567"/>
        <w:jc w:val="both"/>
        <w:rPr>
          <w:rFonts w:eastAsia="Times New Roman" w:cs="Times New Roman"/>
          <w:lang w:eastAsia="it-IT"/>
        </w:rPr>
      </w:pPr>
      <w:r w:rsidRPr="006F0EA1">
        <w:rPr>
          <w:rFonts w:eastAsia="Times New Roman" w:cs="Times New Roman"/>
          <w:lang w:eastAsia="it-IT"/>
        </w:rPr>
        <w:t>- gli incarichi affidati a società costituite ai sensi dell’art. 10 della legge 12 novembre 2011, n.183 ed al Regolamento approvato con D.M. 08/02/2013, n. 34 o associazioni professionali operanti salvaguardando i principi della responsabilità professionale e deontologica in capo al professionista che svolge l’incarico, con esclusivo riferimento agli incarichi affidati ai soci professionisti iscritti ad ordini, albi e collegi, anche in differenti sezioni, che conferiscano la loro prestazione esclusivamente alla società o all’associazione</w:t>
      </w:r>
      <w:r w:rsidRPr="006F0EA1">
        <w:t xml:space="preserve">. </w:t>
      </w:r>
    </w:p>
    <w:p w14:paraId="759C1E29" w14:textId="2C39C77E" w:rsidR="0088515A" w:rsidRPr="006F0EA1" w:rsidRDefault="0088515A" w:rsidP="00CE6269">
      <w:pPr>
        <w:spacing w:before="120" w:after="120" w:line="240" w:lineRule="auto"/>
        <w:jc w:val="both"/>
        <w:rPr>
          <w:rFonts w:eastAsia="Times New Roman" w:cs="Times New Roman"/>
          <w:lang w:eastAsia="it-IT"/>
        </w:rPr>
      </w:pPr>
      <w:r w:rsidRPr="006F0EA1">
        <w:rPr>
          <w:rFonts w:eastAsia="Times New Roman" w:cs="Times New Roman"/>
          <w:lang w:eastAsia="it-IT"/>
        </w:rPr>
        <w:t>Per altro verso</w:t>
      </w:r>
      <w:r w:rsidR="009F300C" w:rsidRPr="006F0EA1">
        <w:rPr>
          <w:rFonts w:eastAsia="Times New Roman" w:cs="Times New Roman"/>
          <w:lang w:eastAsia="it-IT"/>
        </w:rPr>
        <w:t>,</w:t>
      </w:r>
      <w:r w:rsidRPr="006F0EA1">
        <w:rPr>
          <w:rFonts w:eastAsia="Times New Roman" w:cs="Times New Roman"/>
          <w:lang w:eastAsia="it-IT"/>
        </w:rPr>
        <w:t xml:space="preserve"> non sono considerati come </w:t>
      </w:r>
      <w:r w:rsidR="00ED6706">
        <w:rPr>
          <w:rFonts w:eastAsia="Times New Roman" w:cs="Times New Roman"/>
          <w:lang w:eastAsia="it-IT"/>
        </w:rPr>
        <w:t>acquisizione</w:t>
      </w:r>
      <w:r w:rsidRPr="006F0EA1">
        <w:rPr>
          <w:rFonts w:eastAsia="Times New Roman" w:cs="Times New Roman"/>
          <w:lang w:eastAsia="it-IT"/>
        </w:rPr>
        <w:t xml:space="preserve"> </w:t>
      </w:r>
      <w:r w:rsidR="00ED6706">
        <w:rPr>
          <w:rFonts w:eastAsia="Times New Roman" w:cs="Times New Roman"/>
          <w:lang w:eastAsia="it-IT"/>
        </w:rPr>
        <w:t>di servizi d</w:t>
      </w:r>
      <w:r w:rsidRPr="006F0EA1">
        <w:rPr>
          <w:rFonts w:eastAsia="Times New Roman" w:cs="Times New Roman"/>
          <w:lang w:eastAsia="it-IT"/>
        </w:rPr>
        <w:t>a terzi le seguenti situazioni:</w:t>
      </w:r>
    </w:p>
    <w:p w14:paraId="013E0DE0" w14:textId="1E8E067B" w:rsidR="0088515A" w:rsidRPr="00F473E5" w:rsidRDefault="00ED6706" w:rsidP="55BAF444">
      <w:pPr>
        <w:numPr>
          <w:ilvl w:val="0"/>
          <w:numId w:val="3"/>
        </w:numPr>
        <w:spacing w:before="120" w:after="120" w:line="240" w:lineRule="auto"/>
        <w:jc w:val="both"/>
        <w:rPr>
          <w:rFonts w:eastAsia="Times New Roman" w:cs="Times New Roman"/>
          <w:lang w:eastAsia="it-IT"/>
        </w:rPr>
      </w:pPr>
      <w:r w:rsidRPr="00F473E5">
        <w:rPr>
          <w:rFonts w:eastAsia="Times New Roman" w:cs="Times New Roman"/>
          <w:lang w:eastAsia="it-IT"/>
        </w:rPr>
        <w:t xml:space="preserve">gli incarichi assunti dai partner in attuazione </w:t>
      </w:r>
      <w:r w:rsidR="0088515A" w:rsidRPr="00F473E5">
        <w:rPr>
          <w:rFonts w:eastAsia="Times New Roman" w:cs="Times New Roman"/>
          <w:lang w:eastAsia="it-IT"/>
        </w:rPr>
        <w:t>d</w:t>
      </w:r>
      <w:r w:rsidRPr="00F473E5">
        <w:rPr>
          <w:rFonts w:eastAsia="Times New Roman" w:cs="Times New Roman"/>
          <w:lang w:eastAsia="it-IT"/>
        </w:rPr>
        <w:t>i</w:t>
      </w:r>
      <w:r w:rsidR="0088515A" w:rsidRPr="00F473E5">
        <w:rPr>
          <w:rFonts w:eastAsia="Times New Roman" w:cs="Times New Roman"/>
          <w:lang w:eastAsia="it-IT"/>
        </w:rPr>
        <w:t xml:space="preserve"> un accordo scritto di part</w:t>
      </w:r>
      <w:r w:rsidRPr="00F473E5">
        <w:rPr>
          <w:rFonts w:eastAsia="Times New Roman" w:cs="Times New Roman"/>
          <w:lang w:eastAsia="it-IT"/>
        </w:rPr>
        <w:t xml:space="preserve">enariato </w:t>
      </w:r>
      <w:r w:rsidR="0088515A" w:rsidRPr="00F473E5">
        <w:rPr>
          <w:rFonts w:eastAsia="Times New Roman" w:cs="Times New Roman"/>
          <w:lang w:eastAsia="it-IT"/>
        </w:rPr>
        <w:t xml:space="preserve">per la realizzazione di una operazione; </w:t>
      </w:r>
    </w:p>
    <w:p w14:paraId="44A6EAF8" w14:textId="77777777" w:rsidR="0088515A" w:rsidRPr="00F473E5" w:rsidRDefault="0088515A" w:rsidP="00CE6269">
      <w:pPr>
        <w:numPr>
          <w:ilvl w:val="0"/>
          <w:numId w:val="3"/>
        </w:numPr>
        <w:spacing w:before="120" w:after="120" w:line="240" w:lineRule="auto"/>
        <w:jc w:val="both"/>
        <w:rPr>
          <w:rFonts w:eastAsia="Times New Roman" w:cs="Times New Roman"/>
          <w:lang w:eastAsia="it-IT"/>
        </w:rPr>
      </w:pPr>
      <w:r w:rsidRPr="00F473E5">
        <w:rPr>
          <w:rFonts w:eastAsia="Times New Roman" w:cs="Times New Roman"/>
          <w:lang w:eastAsia="it-IT"/>
        </w:rPr>
        <w:t xml:space="preserve">gli incarichi da parte di associazioni ai propri associati, di associazioni temporanee di impresa (ATI) o di scopo (ATS) ai propri associati, di consorzi o società consortili ai propri consorziati, di imprese ad altre imprese facenti parte dello stesso gruppo tra loro collegate e/o controllate, ai sensi dell’art. 2359 del </w:t>
      </w:r>
      <w:proofErr w:type="gramStart"/>
      <w:r w:rsidRPr="00F473E5">
        <w:rPr>
          <w:rFonts w:eastAsia="Times New Roman" w:cs="Times New Roman"/>
          <w:lang w:eastAsia="it-IT"/>
        </w:rPr>
        <w:t>codice civile</w:t>
      </w:r>
      <w:proofErr w:type="gramEnd"/>
      <w:r w:rsidRPr="00F473E5">
        <w:rPr>
          <w:rFonts w:eastAsia="Times New Roman" w:cs="Times New Roman"/>
          <w:lang w:eastAsia="it-IT"/>
        </w:rPr>
        <w:t>;</w:t>
      </w:r>
    </w:p>
    <w:p w14:paraId="52910675" w14:textId="77777777" w:rsidR="009F300C" w:rsidRPr="00F473E5" w:rsidRDefault="0088515A" w:rsidP="00CE6269">
      <w:pPr>
        <w:numPr>
          <w:ilvl w:val="0"/>
          <w:numId w:val="3"/>
        </w:numPr>
        <w:spacing w:before="120" w:after="120" w:line="240" w:lineRule="auto"/>
        <w:jc w:val="both"/>
        <w:rPr>
          <w:rFonts w:eastAsia="Times New Roman" w:cs="Times New Roman"/>
          <w:lang w:eastAsia="it-IT"/>
        </w:rPr>
      </w:pPr>
      <w:r w:rsidRPr="00F473E5">
        <w:rPr>
          <w:rFonts w:eastAsia="Times New Roman" w:cs="Times New Roman"/>
          <w:lang w:eastAsia="it-IT"/>
        </w:rPr>
        <w:t>gli incarichi da parte di fondazioni ai soggetti facenti parte delle stesse</w:t>
      </w:r>
      <w:r w:rsidR="009F300C" w:rsidRPr="00F473E5">
        <w:rPr>
          <w:rFonts w:eastAsia="Times New Roman" w:cs="Times New Roman"/>
          <w:lang w:eastAsia="it-IT"/>
        </w:rPr>
        <w:t>;</w:t>
      </w:r>
    </w:p>
    <w:p w14:paraId="20B19E0F" w14:textId="2E571186" w:rsidR="0088515A" w:rsidRPr="00F473E5" w:rsidRDefault="1B5D8470" w:rsidP="00CE6269">
      <w:pPr>
        <w:numPr>
          <w:ilvl w:val="0"/>
          <w:numId w:val="3"/>
        </w:numPr>
        <w:spacing w:before="120" w:after="120" w:line="240" w:lineRule="auto"/>
        <w:jc w:val="both"/>
        <w:rPr>
          <w:rFonts w:eastAsia="Times New Roman" w:cs="Times New Roman"/>
          <w:lang w:eastAsia="it-IT"/>
        </w:rPr>
      </w:pPr>
      <w:r w:rsidRPr="00F473E5">
        <w:rPr>
          <w:rFonts w:eastAsia="Times New Roman" w:cs="Times New Roman"/>
          <w:lang w:eastAsia="it-IT"/>
        </w:rPr>
        <w:t xml:space="preserve">l’affidamento di </w:t>
      </w:r>
      <w:r w:rsidR="7F1E0726" w:rsidRPr="00F473E5">
        <w:rPr>
          <w:rFonts w:eastAsia="Times New Roman" w:cs="Times New Roman"/>
          <w:lang w:eastAsia="it-IT"/>
        </w:rPr>
        <w:t xml:space="preserve">parte di </w:t>
      </w:r>
      <w:r w:rsidRPr="00F473E5">
        <w:rPr>
          <w:rFonts w:eastAsia="Times New Roman" w:cs="Times New Roman"/>
          <w:lang w:eastAsia="it-IT"/>
        </w:rPr>
        <w:t>operazioni, da parte del Comune capofila, ad altri Comuni facenti parte dello stesso Ambito Territoriale Sociale.</w:t>
      </w:r>
    </w:p>
    <w:p w14:paraId="574D3B2D" w14:textId="77777777" w:rsidR="00764ADC" w:rsidRPr="00764ADC" w:rsidRDefault="00764ADC" w:rsidP="00764ADC">
      <w:pPr>
        <w:spacing w:before="120" w:after="120" w:line="240" w:lineRule="auto"/>
        <w:jc w:val="both"/>
        <w:rPr>
          <w:rFonts w:eastAsia="Times New Roman" w:cs="Times New Roman"/>
          <w:lang w:eastAsia="it-IT"/>
        </w:rPr>
      </w:pPr>
      <w:r w:rsidRPr="00764ADC">
        <w:rPr>
          <w:rFonts w:eastAsia="Times New Roman" w:cs="Times New Roman"/>
          <w:lang w:eastAsia="it-IT"/>
        </w:rPr>
        <w:t>In linea generale l’acquisizione di servizi da soggetti terzi non può avere ad oggetto o riguardare:</w:t>
      </w:r>
    </w:p>
    <w:p w14:paraId="48E41DF7" w14:textId="5A1875C2" w:rsidR="00764ADC" w:rsidRPr="003D486F" w:rsidRDefault="00764ADC" w:rsidP="003D486F">
      <w:pPr>
        <w:pStyle w:val="Paragrafoelenco"/>
        <w:numPr>
          <w:ilvl w:val="0"/>
          <w:numId w:val="3"/>
        </w:numPr>
        <w:spacing w:before="120" w:after="120" w:line="240" w:lineRule="auto"/>
        <w:jc w:val="both"/>
        <w:rPr>
          <w:rFonts w:eastAsia="Times New Roman" w:cs="Times New Roman"/>
          <w:lang w:eastAsia="it-IT"/>
        </w:rPr>
      </w:pPr>
      <w:r w:rsidRPr="003D486F">
        <w:rPr>
          <w:rFonts w:eastAsia="Times New Roman" w:cs="Times New Roman"/>
          <w:lang w:eastAsia="it-IT"/>
        </w:rPr>
        <w:t>attività che contribuiscono ad aumentare il costo di esecuzione dell’operazione, senza alcun valore aggiunto proporzionato;</w:t>
      </w:r>
    </w:p>
    <w:p w14:paraId="71492571" w14:textId="55C3C8B0" w:rsidR="00335437" w:rsidRPr="003D486F" w:rsidRDefault="00764ADC" w:rsidP="003D486F">
      <w:pPr>
        <w:pStyle w:val="Paragrafoelenco"/>
        <w:numPr>
          <w:ilvl w:val="0"/>
          <w:numId w:val="3"/>
        </w:numPr>
        <w:spacing w:before="120" w:after="120" w:line="240" w:lineRule="auto"/>
        <w:jc w:val="both"/>
        <w:rPr>
          <w:rFonts w:eastAsia="Times New Roman" w:cs="Times New Roman"/>
          <w:lang w:eastAsia="it-IT"/>
        </w:rPr>
      </w:pPr>
      <w:r w:rsidRPr="003D486F">
        <w:rPr>
          <w:rFonts w:eastAsia="Times New Roman" w:cs="Times New Roman"/>
          <w:lang w:eastAsia="it-IT"/>
        </w:rPr>
        <w:t>accordi stipulati con intermediari o consulenti in cui il pagamento è espresso in percentuale del costo totale dell’operazione, a meno che tale pagamento sia giustificato dal beneficiario con riferimento all’effettivo valore dei servizi prestati.</w:t>
      </w:r>
    </w:p>
    <w:p w14:paraId="590959F9" w14:textId="5106781F" w:rsidR="0088515A" w:rsidRPr="00EC0AC7" w:rsidRDefault="0088515A" w:rsidP="00764ADC">
      <w:pPr>
        <w:spacing w:before="120" w:after="120" w:line="240" w:lineRule="auto"/>
        <w:jc w:val="both"/>
        <w:rPr>
          <w:rFonts w:eastAsia="Times New Roman" w:cs="Times New Roman"/>
          <w:lang w:eastAsia="it-IT"/>
        </w:rPr>
      </w:pPr>
      <w:r w:rsidRPr="00EC0AC7">
        <w:rPr>
          <w:rFonts w:eastAsia="Times New Roman" w:cs="Times New Roman"/>
          <w:lang w:eastAsia="it-IT"/>
        </w:rPr>
        <w:t>Nella categoria generale dell’a</w:t>
      </w:r>
      <w:r w:rsidR="00ED6706" w:rsidRPr="00EC0AC7">
        <w:rPr>
          <w:rFonts w:eastAsia="Times New Roman" w:cs="Times New Roman"/>
          <w:lang w:eastAsia="it-IT"/>
        </w:rPr>
        <w:t>cquisizione di servizi d</w:t>
      </w:r>
      <w:r w:rsidRPr="00EC0AC7">
        <w:rPr>
          <w:rFonts w:eastAsia="Times New Roman" w:cs="Times New Roman"/>
          <w:lang w:eastAsia="it-IT"/>
        </w:rPr>
        <w:t xml:space="preserve">a terzi (che possiamo considerare il </w:t>
      </w:r>
      <w:proofErr w:type="spellStart"/>
      <w:r w:rsidRPr="00EC0AC7">
        <w:rPr>
          <w:rFonts w:eastAsia="Times New Roman" w:cs="Times New Roman"/>
          <w:i/>
          <w:iCs/>
          <w:lang w:eastAsia="it-IT"/>
        </w:rPr>
        <w:t>genus</w:t>
      </w:r>
      <w:proofErr w:type="spellEnd"/>
      <w:r w:rsidRPr="00EC0AC7">
        <w:rPr>
          <w:rFonts w:eastAsia="Times New Roman" w:cs="Times New Roman"/>
          <w:i/>
          <w:iCs/>
          <w:lang w:eastAsia="it-IT"/>
        </w:rPr>
        <w:t>)</w:t>
      </w:r>
      <w:r w:rsidRPr="00EC0AC7">
        <w:rPr>
          <w:rFonts w:eastAsia="Times New Roman" w:cs="Times New Roman"/>
          <w:lang w:eastAsia="it-IT"/>
        </w:rPr>
        <w:t xml:space="preserve"> rientrano, ai fini di quanto qui interessa, sia le ipotesi di “</w:t>
      </w:r>
      <w:r w:rsidR="00ED6706" w:rsidRPr="00EC0AC7">
        <w:rPr>
          <w:rFonts w:eastAsia="Times New Roman" w:cs="Times New Roman"/>
          <w:lang w:eastAsia="it-IT"/>
        </w:rPr>
        <w:t>acquisizione di servizi caratteristici</w:t>
      </w:r>
      <w:r w:rsidRPr="00EC0AC7">
        <w:rPr>
          <w:rFonts w:eastAsia="Times New Roman" w:cs="Times New Roman"/>
          <w:lang w:eastAsia="it-IT"/>
        </w:rPr>
        <w:t>”, sia le ipotesi di “acquisizione di forniture</w:t>
      </w:r>
      <w:r w:rsidR="00A50356" w:rsidRPr="00EC0AC7">
        <w:rPr>
          <w:rFonts w:eastAsia="Times New Roman" w:cs="Times New Roman"/>
          <w:lang w:eastAsia="it-IT"/>
        </w:rPr>
        <w:t>, lavori</w:t>
      </w:r>
      <w:r w:rsidRPr="00EC0AC7">
        <w:rPr>
          <w:rFonts w:eastAsia="Times New Roman" w:cs="Times New Roman"/>
          <w:lang w:eastAsia="it-IT"/>
        </w:rPr>
        <w:t xml:space="preserve"> e servizi strumentali e accessori” </w:t>
      </w:r>
      <w:r w:rsidRPr="00EC0AC7">
        <w:rPr>
          <w:rFonts w:eastAsia="Times New Roman" w:cs="Times New Roman"/>
          <w:i/>
          <w:iCs/>
          <w:lang w:eastAsia="it-IT"/>
        </w:rPr>
        <w:t>(</w:t>
      </w:r>
      <w:proofErr w:type="spellStart"/>
      <w:r w:rsidRPr="00EC0AC7">
        <w:rPr>
          <w:rFonts w:eastAsia="Times New Roman" w:cs="Times New Roman"/>
          <w:i/>
          <w:iCs/>
          <w:lang w:eastAsia="it-IT"/>
        </w:rPr>
        <w:t>species</w:t>
      </w:r>
      <w:proofErr w:type="spellEnd"/>
      <w:r w:rsidRPr="00EC0AC7">
        <w:rPr>
          <w:rFonts w:eastAsia="Times New Roman" w:cs="Times New Roman"/>
          <w:i/>
          <w:iCs/>
          <w:lang w:eastAsia="it-IT"/>
        </w:rPr>
        <w:t>).</w:t>
      </w:r>
      <w:r w:rsidRPr="00EC0AC7">
        <w:rPr>
          <w:rFonts w:eastAsia="Times New Roman" w:cs="Times New Roman"/>
          <w:lang w:eastAsia="it-IT"/>
        </w:rPr>
        <w:t xml:space="preserve"> </w:t>
      </w:r>
    </w:p>
    <w:p w14:paraId="51132E62" w14:textId="77777777" w:rsidR="003058CA" w:rsidRDefault="00556292" w:rsidP="0011738A">
      <w:pPr>
        <w:spacing w:before="120" w:after="120" w:line="240" w:lineRule="auto"/>
        <w:jc w:val="both"/>
        <w:rPr>
          <w:rFonts w:eastAsia="Times New Roman" w:cs="Times New Roman"/>
          <w:lang w:eastAsia="it-IT"/>
        </w:rPr>
      </w:pPr>
      <w:r w:rsidRPr="00F473E5">
        <w:rPr>
          <w:rFonts w:eastAsia="Times New Roman" w:cs="Times New Roman"/>
          <w:lang w:eastAsia="it-IT"/>
        </w:rPr>
        <w:t xml:space="preserve">Si devono intendere </w:t>
      </w:r>
      <w:r w:rsidRPr="001F5175">
        <w:rPr>
          <w:rFonts w:eastAsia="Times New Roman" w:cs="Times New Roman"/>
          <w:u w:val="single"/>
          <w:lang w:eastAsia="it-IT"/>
        </w:rPr>
        <w:t>servizi caratteristici</w:t>
      </w:r>
      <w:r w:rsidRPr="00F473E5">
        <w:rPr>
          <w:rFonts w:eastAsia="Times New Roman" w:cs="Times New Roman"/>
          <w:lang w:eastAsia="it-IT"/>
        </w:rPr>
        <w:t xml:space="preserve"> quelli che hanno per oggetto </w:t>
      </w:r>
      <w:r w:rsidR="0088515A" w:rsidRPr="00F473E5">
        <w:rPr>
          <w:rFonts w:eastAsia="Times New Roman" w:cs="Times New Roman"/>
          <w:lang w:eastAsia="it-IT"/>
        </w:rPr>
        <w:t>l</w:t>
      </w:r>
      <w:r w:rsidRPr="00F473E5">
        <w:rPr>
          <w:rFonts w:eastAsia="Times New Roman" w:cs="Times New Roman"/>
          <w:lang w:eastAsia="it-IT"/>
        </w:rPr>
        <w:t>a</w:t>
      </w:r>
      <w:r>
        <w:rPr>
          <w:rFonts w:eastAsia="Times New Roman" w:cs="Times New Roman"/>
          <w:lang w:eastAsia="it-IT"/>
        </w:rPr>
        <w:t xml:space="preserve"> realizzazione diretta delle</w:t>
      </w:r>
      <w:r w:rsidR="0088515A" w:rsidRPr="006F0EA1">
        <w:rPr>
          <w:rFonts w:eastAsia="Times New Roman" w:cs="Times New Roman"/>
          <w:lang w:eastAsia="it-IT"/>
        </w:rPr>
        <w:t xml:space="preserve"> finalità e gli obiettivi preordinati </w:t>
      </w:r>
      <w:r w:rsidR="002D3560" w:rsidRPr="006F0EA1">
        <w:rPr>
          <w:rFonts w:eastAsia="Times New Roman" w:cs="Times New Roman"/>
          <w:lang w:eastAsia="it-IT"/>
        </w:rPr>
        <w:t>all’operazione, che</w:t>
      </w:r>
      <w:r w:rsidR="0088515A" w:rsidRPr="006F0EA1">
        <w:rPr>
          <w:rFonts w:eastAsia="Times New Roman" w:cs="Times New Roman"/>
          <w:lang w:eastAsia="it-IT"/>
        </w:rPr>
        <w:t xml:space="preserve"> hanno costituito elemento fondante della valutazione dell’interesse pubblico dell’operazione stessa</w:t>
      </w:r>
      <w:r w:rsidR="00C6360F">
        <w:rPr>
          <w:rFonts w:eastAsia="Times New Roman" w:cs="Times New Roman"/>
          <w:lang w:eastAsia="it-IT"/>
        </w:rPr>
        <w:t xml:space="preserve"> e </w:t>
      </w:r>
      <w:r w:rsidR="0088515A" w:rsidRPr="006F0EA1">
        <w:rPr>
          <w:rFonts w:eastAsia="Times New Roman" w:cs="Times New Roman"/>
          <w:lang w:eastAsia="it-IT"/>
        </w:rPr>
        <w:t>che hanno determinato la concessione e quindi l’attribuzione del finanziamento pubblico</w:t>
      </w:r>
      <w:r w:rsidR="00557ED5">
        <w:rPr>
          <w:rFonts w:eastAsia="Times New Roman" w:cs="Times New Roman"/>
          <w:lang w:eastAsia="it-IT"/>
        </w:rPr>
        <w:t>.</w:t>
      </w:r>
      <w:r w:rsidR="00F473E5">
        <w:rPr>
          <w:rFonts w:eastAsia="Times New Roman" w:cs="Times New Roman"/>
          <w:lang w:eastAsia="it-IT"/>
        </w:rPr>
        <w:t xml:space="preserve"> </w:t>
      </w:r>
    </w:p>
    <w:p w14:paraId="1CC63603" w14:textId="1D3D7074" w:rsidR="00B56E5F" w:rsidRPr="00B5689D" w:rsidRDefault="006C344D" w:rsidP="00B56E5F">
      <w:pPr>
        <w:spacing w:before="120" w:after="120" w:line="240" w:lineRule="auto"/>
        <w:jc w:val="both"/>
        <w:rPr>
          <w:rFonts w:ascii="Calibri" w:eastAsia="Times New Roman" w:hAnsi="Calibri" w:cs="Times New Roman"/>
          <w:color w:val="00B050"/>
          <w:lang w:eastAsia="it-IT"/>
        </w:rPr>
      </w:pPr>
      <w:r w:rsidRPr="00EC0AC7">
        <w:rPr>
          <w:rFonts w:eastAsia="Times New Roman" w:cs="Times New Roman"/>
          <w:lang w:eastAsia="it-IT"/>
        </w:rPr>
        <w:lastRenderedPageBreak/>
        <w:t>Il ricorso a terzi per l’acquisizione di</w:t>
      </w:r>
      <w:r w:rsidR="00931765" w:rsidRPr="00EC0AC7">
        <w:rPr>
          <w:rFonts w:eastAsia="Times New Roman" w:cs="Times New Roman"/>
          <w:lang w:eastAsia="it-IT"/>
        </w:rPr>
        <w:t xml:space="preserve"> </w:t>
      </w:r>
      <w:r w:rsidRPr="00EC0AC7">
        <w:rPr>
          <w:rFonts w:eastAsia="Times New Roman" w:cs="Times New Roman"/>
          <w:u w:val="single"/>
          <w:lang w:eastAsia="it-IT"/>
        </w:rPr>
        <w:t>forniture e servizi aventi carattere meramente esecutivo o accessorio o strumentale</w:t>
      </w:r>
      <w:r w:rsidRPr="00EC0AC7">
        <w:rPr>
          <w:rFonts w:eastAsia="Times New Roman" w:cs="Times New Roman"/>
          <w:lang w:eastAsia="it-IT"/>
        </w:rPr>
        <w:t xml:space="preserve"> rispetto alle finalità proprie e caratterizzanti le operazioni, è una fattispecie diversa dall’acquisizione di servizi caratteristici. </w:t>
      </w:r>
      <w:r w:rsidR="00511E40" w:rsidRPr="00EC0AC7">
        <w:rPr>
          <w:rFonts w:eastAsia="Times New Roman" w:cs="Times New Roman"/>
          <w:lang w:eastAsia="it-IT"/>
        </w:rPr>
        <w:t xml:space="preserve"> </w:t>
      </w:r>
      <w:r w:rsidR="00B56E5F" w:rsidRPr="00EC0AC7">
        <w:rPr>
          <w:rFonts w:ascii="Calibri" w:eastAsia="Times New Roman" w:hAnsi="Calibri" w:cs="Times New Roman"/>
          <w:lang w:eastAsia="it-IT"/>
        </w:rPr>
        <w:t xml:space="preserve">Rientrano in questo ambito i costi diretti delle attività </w:t>
      </w:r>
      <w:r w:rsidR="00EC2B6F" w:rsidRPr="00EC0AC7">
        <w:rPr>
          <w:rFonts w:ascii="Calibri" w:eastAsia="Times New Roman" w:hAnsi="Calibri" w:cs="Times New Roman"/>
          <w:lang w:eastAsia="it-IT"/>
        </w:rPr>
        <w:t>che</w:t>
      </w:r>
      <w:r w:rsidR="00B56E5F" w:rsidRPr="00EC0AC7">
        <w:rPr>
          <w:rFonts w:ascii="Calibri" w:eastAsia="Times New Roman" w:hAnsi="Calibri" w:cs="Times New Roman"/>
          <w:lang w:eastAsia="it-IT"/>
        </w:rPr>
        <w:t>, in via esemplificativa, possono ri</w:t>
      </w:r>
      <w:r w:rsidR="00630D06" w:rsidRPr="00EC0AC7">
        <w:rPr>
          <w:rFonts w:ascii="Calibri" w:eastAsia="Times New Roman" w:hAnsi="Calibri" w:cs="Times New Roman"/>
          <w:lang w:eastAsia="it-IT"/>
        </w:rPr>
        <w:t>ferirsi a</w:t>
      </w:r>
      <w:r w:rsidR="00B56E5F" w:rsidRPr="00EC0AC7">
        <w:rPr>
          <w:rFonts w:ascii="Calibri" w:eastAsia="Times New Roman" w:hAnsi="Calibri" w:cs="Times New Roman"/>
          <w:lang w:eastAsia="it-IT"/>
        </w:rPr>
        <w:t>:</w:t>
      </w:r>
    </w:p>
    <w:p w14:paraId="4679422A" w14:textId="2AA812F9" w:rsidR="0011738A" w:rsidRPr="00B56E5F" w:rsidRDefault="000E4C1C" w:rsidP="00B56E5F">
      <w:pPr>
        <w:pStyle w:val="Paragrafoelenco"/>
        <w:numPr>
          <w:ilvl w:val="0"/>
          <w:numId w:val="1"/>
        </w:numPr>
        <w:spacing w:before="120" w:after="120" w:line="240" w:lineRule="auto"/>
        <w:jc w:val="both"/>
        <w:rPr>
          <w:rFonts w:eastAsia="Times New Roman" w:cs="Times New Roman"/>
          <w:lang w:eastAsia="it-IT"/>
        </w:rPr>
      </w:pPr>
      <w:r>
        <w:rPr>
          <w:rFonts w:eastAsia="Times New Roman" w:cs="Times New Roman"/>
          <w:lang w:eastAsia="it-IT"/>
        </w:rPr>
        <w:t>l</w:t>
      </w:r>
      <w:r w:rsidR="00BE28F8">
        <w:rPr>
          <w:rFonts w:eastAsia="Times New Roman" w:cs="Times New Roman"/>
          <w:lang w:eastAsia="it-IT"/>
        </w:rPr>
        <w:t xml:space="preserve">e forniture </w:t>
      </w:r>
      <w:r w:rsidR="0011738A" w:rsidRPr="00B56E5F">
        <w:rPr>
          <w:rFonts w:eastAsia="Times New Roman" w:cs="Times New Roman"/>
          <w:lang w:eastAsia="it-IT"/>
        </w:rPr>
        <w:t>di attrezzature</w:t>
      </w:r>
      <w:r w:rsidR="00BE28F8">
        <w:rPr>
          <w:rFonts w:eastAsia="Times New Roman" w:cs="Times New Roman"/>
          <w:lang w:eastAsia="it-IT"/>
        </w:rPr>
        <w:t>;</w:t>
      </w:r>
    </w:p>
    <w:p w14:paraId="34EC2CCF" w14:textId="77777777" w:rsidR="0011738A" w:rsidRPr="00B5689D" w:rsidRDefault="0011738A" w:rsidP="0011738A">
      <w:pPr>
        <w:numPr>
          <w:ilvl w:val="0"/>
          <w:numId w:val="1"/>
        </w:numPr>
        <w:spacing w:before="120" w:after="120" w:line="240" w:lineRule="auto"/>
        <w:jc w:val="both"/>
        <w:rPr>
          <w:rFonts w:eastAsia="Times New Roman" w:cs="Times New Roman"/>
          <w:lang w:eastAsia="it-IT"/>
        </w:rPr>
      </w:pPr>
      <w:r w:rsidRPr="00B5689D">
        <w:rPr>
          <w:rFonts w:eastAsia="Times New Roman" w:cs="Times New Roman"/>
          <w:lang w:eastAsia="it-IT"/>
        </w:rPr>
        <w:t>i servizi di supporto per l’organizzazione di convegni, mostre e altre manifestazioni;</w:t>
      </w:r>
    </w:p>
    <w:p w14:paraId="04B95E43" w14:textId="39C3555B" w:rsidR="00196E76" w:rsidRPr="00EC0AC7" w:rsidRDefault="0011738A" w:rsidP="00196E76">
      <w:pPr>
        <w:numPr>
          <w:ilvl w:val="0"/>
          <w:numId w:val="1"/>
        </w:numPr>
        <w:spacing w:before="120" w:after="120" w:line="240" w:lineRule="auto"/>
        <w:jc w:val="both"/>
        <w:rPr>
          <w:rFonts w:eastAsia="Times New Roman" w:cs="Times New Roman"/>
          <w:b/>
          <w:strike/>
          <w:lang w:eastAsia="it-IT"/>
        </w:rPr>
      </w:pPr>
      <w:r w:rsidRPr="00EC0AC7">
        <w:rPr>
          <w:rFonts w:eastAsia="Times New Roman" w:cs="Times New Roman"/>
          <w:lang w:eastAsia="it-IT"/>
        </w:rPr>
        <w:t>l</w:t>
      </w:r>
      <w:r w:rsidR="00122D5B" w:rsidRPr="00EC0AC7">
        <w:rPr>
          <w:rFonts w:eastAsia="Times New Roman" w:cs="Times New Roman"/>
          <w:lang w:eastAsia="it-IT"/>
        </w:rPr>
        <w:t>a fornitura di</w:t>
      </w:r>
      <w:r w:rsidRPr="00EC0AC7">
        <w:rPr>
          <w:rFonts w:eastAsia="Times New Roman" w:cs="Times New Roman"/>
          <w:lang w:eastAsia="it-IT"/>
        </w:rPr>
        <w:t xml:space="preserve"> materiale didattico, cancelleria</w:t>
      </w:r>
      <w:r w:rsidR="001F5175" w:rsidRPr="00EC0AC7">
        <w:rPr>
          <w:rFonts w:eastAsia="Times New Roman" w:cs="Times New Roman"/>
          <w:lang w:eastAsia="it-IT"/>
        </w:rPr>
        <w:t xml:space="preserve"> e altri</w:t>
      </w:r>
      <w:r w:rsidRPr="00EC0AC7">
        <w:rPr>
          <w:rFonts w:eastAsia="Times New Roman" w:cs="Times New Roman"/>
          <w:lang w:eastAsia="it-IT"/>
        </w:rPr>
        <w:t xml:space="preserve"> material</w:t>
      </w:r>
      <w:r w:rsidR="00DA0607" w:rsidRPr="00EC0AC7">
        <w:rPr>
          <w:rFonts w:eastAsia="Times New Roman" w:cs="Times New Roman"/>
          <w:lang w:eastAsia="it-IT"/>
        </w:rPr>
        <w:t>i</w:t>
      </w:r>
      <w:r w:rsidRPr="00EC0AC7">
        <w:rPr>
          <w:rFonts w:eastAsia="Times New Roman" w:cs="Times New Roman"/>
          <w:lang w:eastAsia="it-IT"/>
        </w:rPr>
        <w:t xml:space="preserve"> di consumo</w:t>
      </w:r>
      <w:r w:rsidR="000070DA" w:rsidRPr="00EC0AC7">
        <w:rPr>
          <w:rFonts w:eastAsia="Times New Roman" w:cs="Times New Roman"/>
          <w:lang w:eastAsia="it-IT"/>
        </w:rPr>
        <w:t>;</w:t>
      </w:r>
    </w:p>
    <w:p w14:paraId="0C0A19E8" w14:textId="77777777" w:rsidR="00B5689D" w:rsidRPr="00EC0AC7" w:rsidRDefault="000070DA" w:rsidP="00B5689D">
      <w:pPr>
        <w:numPr>
          <w:ilvl w:val="0"/>
          <w:numId w:val="1"/>
        </w:numPr>
        <w:spacing w:before="120" w:after="120" w:line="240" w:lineRule="auto"/>
        <w:jc w:val="both"/>
        <w:rPr>
          <w:rFonts w:eastAsia="Times New Roman" w:cs="Times New Roman"/>
          <w:b/>
          <w:strike/>
          <w:lang w:eastAsia="it-IT"/>
        </w:rPr>
      </w:pPr>
      <w:r w:rsidRPr="00EC0AC7">
        <w:rPr>
          <w:rFonts w:eastAsia="Times New Roman" w:cs="Times New Roman"/>
          <w:lang w:eastAsia="it-IT"/>
        </w:rPr>
        <w:t>i servizi di comunicazione e pubblicità de</w:t>
      </w:r>
      <w:r w:rsidR="000C2FB5" w:rsidRPr="00EC0AC7">
        <w:rPr>
          <w:rFonts w:eastAsia="Times New Roman" w:cs="Times New Roman"/>
          <w:lang w:eastAsia="it-IT"/>
        </w:rPr>
        <w:t>lle azioni progettuali</w:t>
      </w:r>
      <w:r w:rsidRPr="00EC0AC7">
        <w:rPr>
          <w:rFonts w:eastAsia="Times New Roman" w:cs="Times New Roman"/>
          <w:lang w:eastAsia="it-IT"/>
        </w:rPr>
        <w:t xml:space="preserve"> nei media</w:t>
      </w:r>
      <w:r w:rsidR="00D27DB2" w:rsidRPr="00EC0AC7">
        <w:rPr>
          <w:rFonts w:eastAsia="Times New Roman" w:cs="Times New Roman"/>
          <w:lang w:eastAsia="it-IT"/>
        </w:rPr>
        <w:t>;</w:t>
      </w:r>
    </w:p>
    <w:p w14:paraId="5D4992BE" w14:textId="153E4E1E" w:rsidR="00196E76" w:rsidRPr="00EC0AC7" w:rsidRDefault="00D27DB2" w:rsidP="00B5689D">
      <w:pPr>
        <w:numPr>
          <w:ilvl w:val="0"/>
          <w:numId w:val="1"/>
        </w:numPr>
        <w:spacing w:before="120" w:after="120" w:line="240" w:lineRule="auto"/>
        <w:jc w:val="both"/>
        <w:rPr>
          <w:rFonts w:eastAsia="Times New Roman" w:cs="Times New Roman"/>
          <w:b/>
          <w:strike/>
          <w:lang w:eastAsia="it-IT"/>
        </w:rPr>
      </w:pPr>
      <w:r w:rsidRPr="00EC0AC7">
        <w:rPr>
          <w:rFonts w:eastAsia="Times New Roman" w:cs="Times New Roman"/>
          <w:bCs/>
          <w:lang w:eastAsia="it-IT"/>
        </w:rPr>
        <w:t>le attività di consulenza amministrativa e contabile</w:t>
      </w:r>
      <w:r w:rsidR="00931765" w:rsidRPr="00EC0AC7">
        <w:rPr>
          <w:rFonts w:eastAsia="Times New Roman" w:cs="Times New Roman"/>
          <w:bCs/>
          <w:lang w:eastAsia="it-IT"/>
        </w:rPr>
        <w:t xml:space="preserve"> dedicate al progetto</w:t>
      </w:r>
      <w:r w:rsidR="00B5689D" w:rsidRPr="00EC0AC7">
        <w:rPr>
          <w:rFonts w:eastAsia="Times New Roman" w:cs="Times New Roman"/>
          <w:bCs/>
          <w:lang w:eastAsia="it-IT"/>
        </w:rPr>
        <w:t>.</w:t>
      </w:r>
    </w:p>
    <w:p w14:paraId="3CA90A5A" w14:textId="7FD86968" w:rsidR="009F300C" w:rsidRPr="006F0EA1" w:rsidRDefault="00FB63DF" w:rsidP="00CE6269">
      <w:pPr>
        <w:spacing w:before="120" w:after="120" w:line="240" w:lineRule="auto"/>
        <w:jc w:val="both"/>
        <w:rPr>
          <w:rFonts w:eastAsia="Times New Roman" w:cs="Times New Roman"/>
          <w:lang w:eastAsia="it-IT"/>
        </w:rPr>
      </w:pPr>
      <w:r>
        <w:rPr>
          <w:rFonts w:eastAsia="Times New Roman" w:cs="Times New Roman"/>
          <w:lang w:eastAsia="it-IT"/>
        </w:rPr>
        <w:t>L’acquisizione di</w:t>
      </w:r>
      <w:r w:rsidR="008E38EF" w:rsidRPr="006F0EA1">
        <w:rPr>
          <w:rFonts w:eastAsia="Times New Roman" w:cs="Times New Roman"/>
          <w:lang w:eastAsia="it-IT"/>
        </w:rPr>
        <w:t xml:space="preserve"> prestazion</w:t>
      </w:r>
      <w:r>
        <w:rPr>
          <w:rFonts w:eastAsia="Times New Roman" w:cs="Times New Roman"/>
          <w:lang w:eastAsia="it-IT"/>
        </w:rPr>
        <w:t>i</w:t>
      </w:r>
      <w:r w:rsidR="008E38EF" w:rsidRPr="006F0EA1">
        <w:rPr>
          <w:rFonts w:eastAsia="Times New Roman" w:cs="Times New Roman"/>
          <w:lang w:eastAsia="it-IT"/>
        </w:rPr>
        <w:t xml:space="preserve"> di lavoro in </w:t>
      </w:r>
      <w:r w:rsidR="0088515A" w:rsidRPr="006F0EA1">
        <w:rPr>
          <w:rFonts w:eastAsia="Times New Roman" w:cs="Times New Roman"/>
          <w:lang w:eastAsia="it-IT"/>
        </w:rPr>
        <w:t>somministrazione</w:t>
      </w:r>
      <w:r w:rsidR="00F473E5">
        <w:rPr>
          <w:rFonts w:eastAsia="Times New Roman" w:cs="Times New Roman"/>
          <w:lang w:eastAsia="it-IT"/>
        </w:rPr>
        <w:t xml:space="preserve"> </w:t>
      </w:r>
      <w:r w:rsidR="008E38EF" w:rsidRPr="006F0EA1">
        <w:rPr>
          <w:rFonts w:eastAsia="Times New Roman" w:cs="Times New Roman"/>
          <w:lang w:eastAsia="it-IT"/>
        </w:rPr>
        <w:t>segu</w:t>
      </w:r>
      <w:r>
        <w:rPr>
          <w:rFonts w:eastAsia="Times New Roman" w:cs="Times New Roman"/>
          <w:lang w:eastAsia="it-IT"/>
        </w:rPr>
        <w:t>e</w:t>
      </w:r>
      <w:r w:rsidR="008E38EF" w:rsidRPr="006F0EA1">
        <w:rPr>
          <w:rFonts w:eastAsia="Times New Roman" w:cs="Times New Roman"/>
          <w:lang w:eastAsia="it-IT"/>
        </w:rPr>
        <w:t xml:space="preserve"> le regole previste nel paragrafo 4.2 Costi del personale.</w:t>
      </w:r>
      <w:r w:rsidR="00F473E5">
        <w:rPr>
          <w:rFonts w:eastAsia="Times New Roman" w:cs="Times New Roman"/>
          <w:lang w:eastAsia="it-IT"/>
        </w:rPr>
        <w:t xml:space="preserve"> </w:t>
      </w:r>
      <w:r w:rsidR="0041321D" w:rsidRPr="4B9B92F3">
        <w:rPr>
          <w:rFonts w:eastAsia="Times New Roman" w:cs="Times New Roman"/>
          <w:lang w:eastAsia="it-IT"/>
        </w:rPr>
        <w:t>I</w:t>
      </w:r>
      <w:r w:rsidR="009F300C" w:rsidRPr="4B9B92F3">
        <w:rPr>
          <w:rFonts w:eastAsia="Times New Roman" w:cs="Times New Roman"/>
          <w:lang w:eastAsia="it-IT"/>
        </w:rPr>
        <w:t xml:space="preserve"> servizi di intermediazione e di fornitura di lavoro in somministrazione - e i relativi costi </w:t>
      </w:r>
      <w:r w:rsidR="0041321D" w:rsidRPr="4B9B92F3">
        <w:rPr>
          <w:rFonts w:eastAsia="Times New Roman" w:cs="Times New Roman"/>
          <w:lang w:eastAsia="it-IT"/>
        </w:rPr>
        <w:t>–</w:t>
      </w:r>
      <w:r w:rsidR="009F300C" w:rsidRPr="4B9B92F3">
        <w:rPr>
          <w:rFonts w:eastAsia="Times New Roman" w:cs="Times New Roman"/>
          <w:lang w:eastAsia="it-IT"/>
        </w:rPr>
        <w:t xml:space="preserve"> </w:t>
      </w:r>
      <w:r w:rsidR="0041321D" w:rsidRPr="4B9B92F3">
        <w:rPr>
          <w:rFonts w:eastAsia="Times New Roman" w:cs="Times New Roman"/>
          <w:lang w:eastAsia="it-IT"/>
        </w:rPr>
        <w:t>possono invece essere</w:t>
      </w:r>
      <w:r w:rsidR="009F300C" w:rsidRPr="4B9B92F3">
        <w:rPr>
          <w:rFonts w:eastAsia="Times New Roman" w:cs="Times New Roman"/>
          <w:lang w:eastAsia="it-IT"/>
        </w:rPr>
        <w:t xml:space="preserve"> considerati</w:t>
      </w:r>
      <w:r w:rsidR="00C2190A">
        <w:rPr>
          <w:rFonts w:eastAsia="Times New Roman" w:cs="Times New Roman"/>
          <w:lang w:eastAsia="it-IT"/>
        </w:rPr>
        <w:t xml:space="preserve"> a tutti gli effetti</w:t>
      </w:r>
      <w:r w:rsidR="009F300C" w:rsidRPr="4B9B92F3">
        <w:rPr>
          <w:rFonts w:eastAsia="Times New Roman" w:cs="Times New Roman"/>
          <w:lang w:eastAsia="it-IT"/>
        </w:rPr>
        <w:t xml:space="preserve"> alla stregua dell’acquisizione da parte del beneficiario di forniture e servizi strumentali e accessori</w:t>
      </w:r>
      <w:r w:rsidR="002D4114">
        <w:rPr>
          <w:rFonts w:eastAsia="Times New Roman" w:cs="Times New Roman"/>
          <w:lang w:eastAsia="it-IT"/>
        </w:rPr>
        <w:t xml:space="preserve"> di cui al </w:t>
      </w:r>
      <w:r w:rsidR="00C2190A">
        <w:rPr>
          <w:rFonts w:eastAsia="Times New Roman" w:cs="Times New Roman"/>
          <w:lang w:eastAsia="it-IT"/>
        </w:rPr>
        <w:t>presente</w:t>
      </w:r>
      <w:r w:rsidR="00F97A45">
        <w:rPr>
          <w:rFonts w:eastAsia="Times New Roman" w:cs="Times New Roman"/>
          <w:lang w:eastAsia="it-IT"/>
        </w:rPr>
        <w:t xml:space="preserve"> </w:t>
      </w:r>
      <w:r w:rsidR="002D4114">
        <w:rPr>
          <w:rFonts w:eastAsia="Times New Roman" w:cs="Times New Roman"/>
          <w:lang w:eastAsia="it-IT"/>
        </w:rPr>
        <w:t>paragrafo</w:t>
      </w:r>
      <w:r w:rsidR="009F300C" w:rsidRPr="4B9B92F3">
        <w:rPr>
          <w:rFonts w:eastAsia="Times New Roman" w:cs="Times New Roman"/>
          <w:lang w:eastAsia="it-IT"/>
        </w:rPr>
        <w:t>.</w:t>
      </w:r>
    </w:p>
    <w:p w14:paraId="2868FB22" w14:textId="280BEE2C" w:rsidR="0088515A" w:rsidRPr="006F0EA1" w:rsidRDefault="0088515A" w:rsidP="0088515A">
      <w:pPr>
        <w:spacing w:after="0" w:line="240" w:lineRule="auto"/>
        <w:jc w:val="both"/>
        <w:rPr>
          <w:rFonts w:eastAsia="Times New Roman" w:cs="Times New Roman"/>
          <w:strike/>
          <w:lang w:eastAsia="it-IT"/>
        </w:rPr>
      </w:pPr>
      <w:r w:rsidRPr="006F0EA1">
        <w:rPr>
          <w:rFonts w:eastAsia="Times New Roman" w:cs="Times New Roman"/>
          <w:b/>
          <w:color w:val="0070C0"/>
          <w:lang w:eastAsia="it-IT"/>
        </w:rPr>
        <w:t xml:space="preserve">1.1 </w:t>
      </w:r>
      <w:r w:rsidR="0011738A">
        <w:rPr>
          <w:rFonts w:eastAsia="Times New Roman" w:cs="Times New Roman"/>
          <w:b/>
          <w:color w:val="0070C0"/>
          <w:lang w:eastAsia="it-IT"/>
        </w:rPr>
        <w:t>Acquisizione di servizi caratteristici</w:t>
      </w:r>
    </w:p>
    <w:p w14:paraId="499832F7" w14:textId="2BD7E62E" w:rsidR="0047091A" w:rsidRDefault="0088515A" w:rsidP="0A51BB67">
      <w:pPr>
        <w:spacing w:after="0" w:line="240" w:lineRule="auto"/>
        <w:jc w:val="both"/>
        <w:rPr>
          <w:rFonts w:eastAsia="Times New Roman" w:cs="Times New Roman"/>
          <w:i/>
          <w:iCs/>
          <w:lang w:eastAsia="it-IT"/>
        </w:rPr>
      </w:pPr>
      <w:r w:rsidRPr="0A51BB67">
        <w:rPr>
          <w:rFonts w:eastAsia="Times New Roman" w:cs="Times New Roman"/>
          <w:lang w:eastAsia="it-IT"/>
        </w:rPr>
        <w:t>L</w:t>
      </w:r>
      <w:r w:rsidR="642AAB7B" w:rsidRPr="0A51BB67">
        <w:rPr>
          <w:rFonts w:eastAsia="Times New Roman" w:cs="Times New Roman"/>
          <w:lang w:eastAsia="it-IT"/>
        </w:rPr>
        <w:t xml:space="preserve">’acquisizione di </w:t>
      </w:r>
      <w:r w:rsidR="642AAB7B" w:rsidRPr="0A51BB67">
        <w:rPr>
          <w:rFonts w:eastAsia="Times New Roman" w:cs="Times New Roman"/>
          <w:u w:val="single"/>
          <w:lang w:eastAsia="it-IT"/>
        </w:rPr>
        <w:t>servizi caratteristici</w:t>
      </w:r>
      <w:r w:rsidR="642AAB7B" w:rsidRPr="0A51BB67">
        <w:rPr>
          <w:rFonts w:eastAsia="Times New Roman" w:cs="Times New Roman"/>
          <w:lang w:eastAsia="it-IT"/>
        </w:rPr>
        <w:t xml:space="preserve"> per la realizzazione di un intervento non può avere per oggetto la direzione e in generale le funzioni di coordinamento</w:t>
      </w:r>
      <w:r w:rsidR="4056DC91" w:rsidRPr="0A51BB67">
        <w:rPr>
          <w:rFonts w:eastAsia="Times New Roman" w:cs="Times New Roman"/>
          <w:lang w:eastAsia="it-IT"/>
        </w:rPr>
        <w:t xml:space="preserve"> organizzativo e </w:t>
      </w:r>
      <w:r w:rsidR="642AAB7B" w:rsidRPr="0A51BB67">
        <w:rPr>
          <w:rFonts w:eastAsia="Times New Roman" w:cs="Times New Roman"/>
          <w:lang w:eastAsia="it-IT"/>
        </w:rPr>
        <w:t>amministra</w:t>
      </w:r>
      <w:r w:rsidR="1667A6D4" w:rsidRPr="0A51BB67">
        <w:rPr>
          <w:rFonts w:eastAsia="Times New Roman" w:cs="Times New Roman"/>
          <w:lang w:eastAsia="it-IT"/>
        </w:rPr>
        <w:t>tiv</w:t>
      </w:r>
      <w:r w:rsidR="4056DC91" w:rsidRPr="0A51BB67">
        <w:rPr>
          <w:rFonts w:eastAsia="Times New Roman" w:cs="Times New Roman"/>
          <w:lang w:eastAsia="it-IT"/>
        </w:rPr>
        <w:t xml:space="preserve">o </w:t>
      </w:r>
      <w:r w:rsidR="642AAB7B" w:rsidRPr="0A51BB67">
        <w:rPr>
          <w:rFonts w:eastAsia="Times New Roman" w:cs="Times New Roman"/>
          <w:lang w:eastAsia="it-IT"/>
        </w:rPr>
        <w:t>dell’operazione c</w:t>
      </w:r>
      <w:r w:rsidR="290EC336" w:rsidRPr="0A51BB67">
        <w:rPr>
          <w:rFonts w:eastAsia="Times New Roman" w:cs="Times New Roman"/>
          <w:lang w:eastAsia="it-IT"/>
        </w:rPr>
        <w:t>h</w:t>
      </w:r>
      <w:r w:rsidR="642AAB7B" w:rsidRPr="0A51BB67">
        <w:rPr>
          <w:rFonts w:eastAsia="Times New Roman" w:cs="Times New Roman"/>
          <w:lang w:eastAsia="it-IT"/>
        </w:rPr>
        <w:t xml:space="preserve">e devono restare in capo al beneficiario </w:t>
      </w:r>
      <w:r w:rsidR="432683CF" w:rsidRPr="0A51BB67">
        <w:rPr>
          <w:rFonts w:eastAsia="Times New Roman" w:cs="Times New Roman"/>
          <w:lang w:eastAsia="it-IT"/>
        </w:rPr>
        <w:t>eventualmente</w:t>
      </w:r>
      <w:r w:rsidR="642AAB7B" w:rsidRPr="0A51BB67">
        <w:rPr>
          <w:rFonts w:eastAsia="Times New Roman" w:cs="Times New Roman"/>
          <w:lang w:eastAsia="it-IT"/>
        </w:rPr>
        <w:t xml:space="preserve"> distribuite all’interno </w:t>
      </w:r>
      <w:r w:rsidR="642AAB7B" w:rsidRPr="0A51BB67">
        <w:rPr>
          <w:rFonts w:eastAsia="Times New Roman" w:cs="Times New Roman"/>
          <w:i/>
          <w:iCs/>
          <w:lang w:eastAsia="it-IT"/>
        </w:rPr>
        <w:t xml:space="preserve">del partenariato di attuazione. </w:t>
      </w:r>
    </w:p>
    <w:p w14:paraId="3143775A" w14:textId="77777777" w:rsidR="0047091A" w:rsidRDefault="0047091A" w:rsidP="1DE800DF">
      <w:pPr>
        <w:spacing w:after="0" w:line="240" w:lineRule="auto"/>
        <w:jc w:val="both"/>
        <w:rPr>
          <w:rFonts w:eastAsia="Times New Roman" w:cs="Times New Roman"/>
          <w:i/>
          <w:iCs/>
          <w:lang w:eastAsia="it-IT"/>
        </w:rPr>
      </w:pPr>
    </w:p>
    <w:p w14:paraId="42943399" w14:textId="39E15C91" w:rsidR="003F7C87" w:rsidRPr="00EC0AC7" w:rsidRDefault="78B95151" w:rsidP="1DE800DF">
      <w:pPr>
        <w:spacing w:after="0" w:line="240" w:lineRule="auto"/>
        <w:jc w:val="both"/>
        <w:rPr>
          <w:rFonts w:eastAsia="Times New Roman" w:cs="Times New Roman"/>
          <w:lang w:eastAsia="it-IT"/>
        </w:rPr>
      </w:pPr>
      <w:r w:rsidRPr="00EC0AC7">
        <w:rPr>
          <w:rFonts w:eastAsia="Times New Roman" w:cs="Times New Roman"/>
          <w:lang w:eastAsia="it-IT"/>
        </w:rPr>
        <w:t>L’acquisizione di servizi caratteristici deve essere autorizzata dall’Amministrazione</w:t>
      </w:r>
      <w:r w:rsidR="0EF92ACD" w:rsidRPr="00EC0AC7">
        <w:rPr>
          <w:rFonts w:eastAsia="Times New Roman" w:cs="Times New Roman"/>
          <w:lang w:eastAsia="it-IT"/>
        </w:rPr>
        <w:t>.</w:t>
      </w:r>
      <w:r w:rsidRPr="00EC0AC7">
        <w:rPr>
          <w:rFonts w:eastAsia="Times New Roman" w:cs="Times New Roman"/>
          <w:lang w:eastAsia="it-IT"/>
        </w:rPr>
        <w:t xml:space="preserve"> A tal fine la necessità della stessa deve essere chiaramente indicata e motivata in fase di candidatura.</w:t>
      </w:r>
      <w:r w:rsidR="1C69D7CA" w:rsidRPr="00EC0AC7">
        <w:rPr>
          <w:rFonts w:eastAsia="Times New Roman" w:cs="Times New Roman"/>
          <w:lang w:eastAsia="it-IT"/>
        </w:rPr>
        <w:t xml:space="preserve"> </w:t>
      </w:r>
      <w:r w:rsidRPr="00EC0AC7">
        <w:rPr>
          <w:rFonts w:eastAsia="Times New Roman" w:cs="Times New Roman"/>
          <w:lang w:eastAsia="it-IT"/>
        </w:rPr>
        <w:t xml:space="preserve">Per sopraggiunti motivi risultanti da eventi imprevedibili per il beneficiario, </w:t>
      </w:r>
      <w:r w:rsidR="5B896189" w:rsidRPr="00EC0AC7">
        <w:rPr>
          <w:rFonts w:eastAsia="Times New Roman" w:cs="Times New Roman"/>
          <w:lang w:eastAsia="it-IT"/>
        </w:rPr>
        <w:t>l</w:t>
      </w:r>
      <w:r w:rsidR="26BDC2DD" w:rsidRPr="00EC0AC7">
        <w:rPr>
          <w:rFonts w:eastAsia="Times New Roman" w:cs="Times New Roman"/>
          <w:lang w:eastAsia="it-IT"/>
        </w:rPr>
        <w:t xml:space="preserve">’affidamento </w:t>
      </w:r>
      <w:r w:rsidRPr="00EC0AC7">
        <w:rPr>
          <w:rFonts w:eastAsia="Times New Roman" w:cs="Times New Roman"/>
          <w:lang w:eastAsia="it-IT"/>
        </w:rPr>
        <w:t>potrà anche essere autorizzat</w:t>
      </w:r>
      <w:r w:rsidR="1B842AD7" w:rsidRPr="00EC0AC7">
        <w:rPr>
          <w:rFonts w:eastAsia="Times New Roman" w:cs="Times New Roman"/>
          <w:lang w:eastAsia="it-IT"/>
        </w:rPr>
        <w:t>o</w:t>
      </w:r>
      <w:r w:rsidRPr="00EC0AC7">
        <w:rPr>
          <w:rFonts w:eastAsia="Times New Roman" w:cs="Times New Roman"/>
          <w:lang w:eastAsia="it-IT"/>
        </w:rPr>
        <w:t xml:space="preserve"> da parte dell’Amministrazione nel corso di esecuzione dell’operazione finanziata, purché preventivamente rispetto all’espletamento delle attività oggetto della fornitura. </w:t>
      </w:r>
    </w:p>
    <w:p w14:paraId="4A8C4820" w14:textId="77777777" w:rsidR="003F7C87" w:rsidRPr="00EC0AC7" w:rsidRDefault="003F7C87" w:rsidP="003F7C87">
      <w:pPr>
        <w:spacing w:after="0" w:line="240" w:lineRule="auto"/>
        <w:jc w:val="both"/>
        <w:rPr>
          <w:rFonts w:eastAsia="Times New Roman" w:cs="Times New Roman"/>
          <w:lang w:eastAsia="it-IT"/>
        </w:rPr>
      </w:pPr>
    </w:p>
    <w:p w14:paraId="02B7E1C6" w14:textId="25F35804" w:rsidR="003F7C87" w:rsidRPr="00EC0AC7" w:rsidRDefault="78B95151" w:rsidP="003F7C87">
      <w:pPr>
        <w:spacing w:after="0" w:line="240" w:lineRule="auto"/>
        <w:jc w:val="both"/>
        <w:rPr>
          <w:rFonts w:eastAsia="Times New Roman" w:cs="Times New Roman"/>
          <w:lang w:eastAsia="it-IT"/>
        </w:rPr>
      </w:pPr>
      <w:r w:rsidRPr="00EC0AC7">
        <w:rPr>
          <w:rFonts w:eastAsia="Times New Roman" w:cs="Times New Roman"/>
          <w:lang w:eastAsia="it-IT"/>
        </w:rPr>
        <w:t>Eventuali modifiche rispetto al soggetto inizialmente</w:t>
      </w:r>
      <w:r w:rsidR="26915C1F" w:rsidRPr="00EC0AC7">
        <w:rPr>
          <w:rFonts w:eastAsia="Times New Roman" w:cs="Times New Roman"/>
          <w:lang w:eastAsia="it-IT"/>
        </w:rPr>
        <w:t xml:space="preserve"> </w:t>
      </w:r>
      <w:r w:rsidR="30EFD051" w:rsidRPr="00EC0AC7">
        <w:rPr>
          <w:rFonts w:eastAsia="Times New Roman" w:cs="Times New Roman"/>
          <w:lang w:eastAsia="it-IT"/>
        </w:rPr>
        <w:t>previsto</w:t>
      </w:r>
      <w:r w:rsidRPr="00EC0AC7">
        <w:rPr>
          <w:rFonts w:eastAsia="Times New Roman" w:cs="Times New Roman"/>
          <w:b/>
          <w:bCs/>
          <w:lang w:eastAsia="it-IT"/>
        </w:rPr>
        <w:t xml:space="preserve"> </w:t>
      </w:r>
      <w:r w:rsidRPr="00EC0AC7">
        <w:rPr>
          <w:rFonts w:eastAsia="Times New Roman" w:cs="Times New Roman"/>
          <w:lang w:eastAsia="it-IT"/>
        </w:rPr>
        <w:t>ed ai contenuti dell</w:t>
      </w:r>
      <w:r w:rsidR="0717FB9D" w:rsidRPr="00EC0AC7">
        <w:rPr>
          <w:rFonts w:eastAsia="Times New Roman" w:cs="Times New Roman"/>
          <w:lang w:eastAsia="it-IT"/>
        </w:rPr>
        <w:t xml:space="preserve">’affidamento </w:t>
      </w:r>
      <w:r w:rsidR="284ECCC9" w:rsidRPr="00EC0AC7">
        <w:rPr>
          <w:rFonts w:eastAsia="Times New Roman" w:cs="Times New Roman"/>
          <w:lang w:eastAsia="it-IT"/>
        </w:rPr>
        <w:t>nonché all’</w:t>
      </w:r>
      <w:r w:rsidR="45C1C48F" w:rsidRPr="00EC0AC7">
        <w:rPr>
          <w:rFonts w:eastAsia="Times New Roman" w:cs="Times New Roman"/>
          <w:lang w:eastAsia="it-IT"/>
        </w:rPr>
        <w:t>aumento del valore economico dell</w:t>
      </w:r>
      <w:r w:rsidR="2E1EBF33" w:rsidRPr="00EC0AC7">
        <w:rPr>
          <w:rFonts w:eastAsia="Times New Roman" w:cs="Times New Roman"/>
          <w:lang w:eastAsia="it-IT"/>
        </w:rPr>
        <w:t>o stesso</w:t>
      </w:r>
      <w:r w:rsidRPr="00EC0AC7">
        <w:rPr>
          <w:rFonts w:eastAsia="Times New Roman" w:cs="Times New Roman"/>
          <w:lang w:eastAsia="it-IT"/>
        </w:rPr>
        <w:t>, sono subordinate, ad una nuova ed ulteriore autorizzazione da parte dell’Amministrazione</w:t>
      </w:r>
      <w:r w:rsidR="45C1C48F" w:rsidRPr="00EC0AC7">
        <w:rPr>
          <w:rFonts w:eastAsia="Times New Roman" w:cs="Times New Roman"/>
          <w:lang w:eastAsia="it-IT"/>
        </w:rPr>
        <w:t>.</w:t>
      </w:r>
    </w:p>
    <w:p w14:paraId="635D1CDA" w14:textId="77777777" w:rsidR="003F7C87" w:rsidRPr="00EC0AC7" w:rsidRDefault="003F7C87" w:rsidP="003F7C87">
      <w:pPr>
        <w:spacing w:after="0" w:line="240" w:lineRule="auto"/>
        <w:jc w:val="both"/>
        <w:rPr>
          <w:rFonts w:eastAsia="Times New Roman" w:cs="Times New Roman"/>
          <w:lang w:eastAsia="it-IT"/>
        </w:rPr>
      </w:pPr>
    </w:p>
    <w:p w14:paraId="0628D2AF" w14:textId="405B8719" w:rsidR="003F7C87" w:rsidRPr="00EC0AC7" w:rsidRDefault="003F7C87" w:rsidP="003F7C87">
      <w:pPr>
        <w:spacing w:after="0" w:line="240" w:lineRule="auto"/>
        <w:jc w:val="both"/>
        <w:rPr>
          <w:rFonts w:eastAsia="Times New Roman" w:cs="Times New Roman"/>
          <w:lang w:eastAsia="it-IT"/>
        </w:rPr>
      </w:pPr>
      <w:r w:rsidRPr="00EC0AC7">
        <w:rPr>
          <w:rFonts w:eastAsia="Times New Roman" w:cs="Times New Roman"/>
          <w:lang w:eastAsia="it-IT"/>
        </w:rPr>
        <w:t>L’AdG p</w:t>
      </w:r>
      <w:r w:rsidR="001C696B" w:rsidRPr="00EC0AC7">
        <w:rPr>
          <w:rFonts w:eastAsia="Times New Roman" w:cs="Times New Roman"/>
          <w:lang w:eastAsia="it-IT"/>
        </w:rPr>
        <w:t>uò</w:t>
      </w:r>
      <w:r w:rsidRPr="00EC0AC7">
        <w:rPr>
          <w:rFonts w:eastAsia="Times New Roman" w:cs="Times New Roman"/>
          <w:lang w:eastAsia="it-IT"/>
        </w:rPr>
        <w:t xml:space="preserve"> prevedere una soglia di costo, anche in termini percentuali, al di sotto della quale non </w:t>
      </w:r>
      <w:r w:rsidR="001C696B" w:rsidRPr="00EC0AC7">
        <w:rPr>
          <w:rFonts w:eastAsia="Times New Roman" w:cs="Times New Roman"/>
          <w:lang w:eastAsia="it-IT"/>
        </w:rPr>
        <w:t>è</w:t>
      </w:r>
      <w:r w:rsidRPr="00EC0AC7">
        <w:rPr>
          <w:rFonts w:eastAsia="Times New Roman" w:cs="Times New Roman"/>
          <w:lang w:eastAsia="it-IT"/>
        </w:rPr>
        <w:t xml:space="preserve"> necessaria l’autorizzazione preventiva di cu</w:t>
      </w:r>
      <w:r w:rsidR="003150BE" w:rsidRPr="00EC0AC7">
        <w:rPr>
          <w:rFonts w:eastAsia="Times New Roman" w:cs="Times New Roman"/>
          <w:lang w:eastAsia="it-IT"/>
        </w:rPr>
        <w:t>i sopra essendo comunque necessaria la comunicazione preventiva.</w:t>
      </w:r>
    </w:p>
    <w:p w14:paraId="672734E0" w14:textId="77777777" w:rsidR="003F7C87" w:rsidRPr="00EC0AC7" w:rsidRDefault="003F7C87" w:rsidP="003F7C87">
      <w:pPr>
        <w:spacing w:after="0" w:line="240" w:lineRule="auto"/>
        <w:jc w:val="both"/>
        <w:rPr>
          <w:rFonts w:eastAsia="Times New Roman" w:cs="Times New Roman"/>
          <w:lang w:eastAsia="it-IT"/>
        </w:rPr>
      </w:pPr>
    </w:p>
    <w:p w14:paraId="66246325" w14:textId="1361AC34" w:rsidR="003F7C87" w:rsidRPr="00EC0AC7" w:rsidRDefault="003F7C87" w:rsidP="003F7C87">
      <w:pPr>
        <w:spacing w:after="0" w:line="240" w:lineRule="auto"/>
        <w:jc w:val="both"/>
        <w:rPr>
          <w:rFonts w:eastAsia="Times New Roman" w:cs="Times New Roman"/>
          <w:lang w:eastAsia="it-IT"/>
        </w:rPr>
      </w:pPr>
      <w:r w:rsidRPr="00EC0AC7">
        <w:rPr>
          <w:rFonts w:eastAsia="Times New Roman" w:cs="Times New Roman"/>
          <w:lang w:eastAsia="it-IT"/>
        </w:rPr>
        <w:t>Le Amministrazioni possono</w:t>
      </w:r>
      <w:r w:rsidR="001C696B" w:rsidRPr="00EC0AC7">
        <w:rPr>
          <w:rFonts w:eastAsia="Times New Roman" w:cs="Times New Roman"/>
          <w:lang w:eastAsia="it-IT"/>
        </w:rPr>
        <w:t xml:space="preserve"> inoltre</w:t>
      </w:r>
      <w:r w:rsidRPr="00EC0AC7">
        <w:rPr>
          <w:rFonts w:eastAsia="Times New Roman" w:cs="Times New Roman"/>
          <w:lang w:eastAsia="it-IT"/>
        </w:rPr>
        <w:t xml:space="preserve"> prevedere all’interno dei loro Avvisi un limite di importo complessivo, anche in termini percentuali, per l’acquisizione </w:t>
      </w:r>
      <w:r w:rsidR="00706B39" w:rsidRPr="00EC0AC7">
        <w:rPr>
          <w:rFonts w:eastAsia="Times New Roman" w:cs="Times New Roman"/>
          <w:lang w:eastAsia="it-IT"/>
        </w:rPr>
        <w:t xml:space="preserve">di </w:t>
      </w:r>
      <w:r w:rsidR="001C696B" w:rsidRPr="00EC0AC7">
        <w:rPr>
          <w:rFonts w:eastAsia="Times New Roman" w:cs="Times New Roman"/>
          <w:lang w:eastAsia="it-IT"/>
        </w:rPr>
        <w:t xml:space="preserve">tale tipologia </w:t>
      </w:r>
      <w:r w:rsidRPr="00EC0AC7">
        <w:rPr>
          <w:rFonts w:eastAsia="Times New Roman" w:cs="Times New Roman"/>
          <w:lang w:eastAsia="it-IT"/>
        </w:rPr>
        <w:t>di servizi.</w:t>
      </w:r>
    </w:p>
    <w:p w14:paraId="1CFC6041" w14:textId="77777777" w:rsidR="003F7C87" w:rsidRPr="00EC0AC7" w:rsidRDefault="003F7C87" w:rsidP="003F7C87">
      <w:pPr>
        <w:spacing w:after="0" w:line="240" w:lineRule="auto"/>
        <w:jc w:val="both"/>
        <w:rPr>
          <w:rFonts w:eastAsia="Times New Roman" w:cs="Times New Roman"/>
          <w:lang w:eastAsia="it-IT"/>
        </w:rPr>
      </w:pPr>
    </w:p>
    <w:p w14:paraId="190560FA" w14:textId="77777777" w:rsidR="003F7C87" w:rsidRPr="00EC0AC7" w:rsidRDefault="003F7C87" w:rsidP="003F7C87">
      <w:pPr>
        <w:spacing w:after="0" w:line="240" w:lineRule="auto"/>
        <w:jc w:val="both"/>
        <w:rPr>
          <w:rFonts w:eastAsia="Times New Roman" w:cs="Times New Roman"/>
          <w:lang w:eastAsia="it-IT"/>
        </w:rPr>
      </w:pPr>
      <w:r w:rsidRPr="00EC0AC7">
        <w:rPr>
          <w:rFonts w:eastAsia="Times New Roman" w:cs="Times New Roman"/>
          <w:lang w:eastAsia="it-IT"/>
        </w:rPr>
        <w:t>Le attività caratteristiche possono essere oggetto di acquisizione da terzi, a condizione che:</w:t>
      </w:r>
    </w:p>
    <w:p w14:paraId="7E66159B" w14:textId="3BD84B1F" w:rsidR="003F7C87" w:rsidRPr="00EC0AC7" w:rsidRDefault="003F7C87" w:rsidP="00EC0AC7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rFonts w:eastAsia="Times New Roman" w:cs="Times New Roman"/>
          <w:lang w:eastAsia="it-IT"/>
        </w:rPr>
      </w:pPr>
      <w:r w:rsidRPr="00EC0AC7">
        <w:rPr>
          <w:rFonts w:eastAsia="Times New Roman" w:cs="Times New Roman"/>
          <w:lang w:eastAsia="it-IT"/>
        </w:rPr>
        <w:t>si tratti di apporti integrativi e specialistici di cui i beneficiari non dispongono in maniera diretta;</w:t>
      </w:r>
    </w:p>
    <w:p w14:paraId="52166FBF" w14:textId="77777777" w:rsidR="00EC0AC7" w:rsidRDefault="003F7C87" w:rsidP="003F7C87">
      <w:pPr>
        <w:spacing w:after="0" w:line="240" w:lineRule="auto"/>
        <w:jc w:val="both"/>
        <w:rPr>
          <w:rFonts w:eastAsia="Times New Roman" w:cs="Times New Roman"/>
          <w:lang w:eastAsia="it-IT"/>
        </w:rPr>
      </w:pPr>
      <w:r w:rsidRPr="00EC0AC7">
        <w:rPr>
          <w:rFonts w:eastAsia="Times New Roman" w:cs="Times New Roman"/>
          <w:lang w:eastAsia="it-IT"/>
        </w:rPr>
        <w:t>e/o</w:t>
      </w:r>
    </w:p>
    <w:p w14:paraId="1FC9341D" w14:textId="576B7FE6" w:rsidR="003F7C87" w:rsidRPr="00EC0AC7" w:rsidRDefault="78B95151" w:rsidP="00EC0AC7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rFonts w:eastAsia="Times New Roman" w:cs="Times New Roman"/>
          <w:lang w:eastAsia="it-IT"/>
        </w:rPr>
      </w:pPr>
      <w:r w:rsidRPr="00EC0AC7">
        <w:rPr>
          <w:rFonts w:eastAsia="Times New Roman" w:cs="Times New Roman"/>
          <w:lang w:eastAsia="it-IT"/>
        </w:rPr>
        <w:t>la prestazione abbia carattere di occasionalità o di comprovata urgenza.</w:t>
      </w:r>
    </w:p>
    <w:p w14:paraId="6EDD666C" w14:textId="77777777" w:rsidR="004A3365" w:rsidRPr="00EC0AC7" w:rsidRDefault="004A3365" w:rsidP="0088515A">
      <w:pPr>
        <w:spacing w:after="0" w:line="240" w:lineRule="auto"/>
        <w:jc w:val="both"/>
        <w:rPr>
          <w:rFonts w:eastAsia="Times New Roman" w:cs="Times New Roman"/>
          <w:lang w:eastAsia="it-IT"/>
        </w:rPr>
      </w:pPr>
    </w:p>
    <w:p w14:paraId="688380E3" w14:textId="7F8D616A" w:rsidR="0088515A" w:rsidRPr="00EC0AC7" w:rsidRDefault="0011738A" w:rsidP="0088515A">
      <w:pPr>
        <w:tabs>
          <w:tab w:val="num" w:pos="1260"/>
        </w:tabs>
        <w:spacing w:after="0" w:line="240" w:lineRule="auto"/>
        <w:jc w:val="both"/>
        <w:rPr>
          <w:rFonts w:eastAsia="Times New Roman" w:cs="Times New Roman"/>
          <w:lang w:eastAsia="it-IT"/>
        </w:rPr>
      </w:pPr>
      <w:r w:rsidRPr="00EC0AC7">
        <w:rPr>
          <w:rFonts w:eastAsia="Times New Roman" w:cs="Times New Roman"/>
          <w:lang w:eastAsia="it-IT"/>
        </w:rPr>
        <w:t xml:space="preserve">Il fornitore di servizi caratteristici </w:t>
      </w:r>
      <w:r w:rsidR="0088515A" w:rsidRPr="00EC0AC7">
        <w:rPr>
          <w:rFonts w:eastAsia="Times New Roman" w:cs="Times New Roman"/>
          <w:lang w:eastAsia="it-IT"/>
        </w:rPr>
        <w:t xml:space="preserve">non può </w:t>
      </w:r>
      <w:r w:rsidRPr="00EC0AC7">
        <w:rPr>
          <w:rFonts w:eastAsia="Times New Roman" w:cs="Times New Roman"/>
          <w:lang w:eastAsia="it-IT"/>
        </w:rPr>
        <w:t>sub</w:t>
      </w:r>
      <w:r w:rsidR="7535D913" w:rsidRPr="00EC0AC7">
        <w:rPr>
          <w:rFonts w:eastAsia="Times New Roman" w:cs="Times New Roman"/>
          <w:lang w:eastAsia="it-IT"/>
        </w:rPr>
        <w:t>-</w:t>
      </w:r>
      <w:r w:rsidRPr="00EC0AC7">
        <w:rPr>
          <w:rFonts w:eastAsia="Times New Roman" w:cs="Times New Roman"/>
          <w:lang w:eastAsia="it-IT"/>
        </w:rPr>
        <w:t xml:space="preserve">appaltare </w:t>
      </w:r>
      <w:r w:rsidR="0088515A" w:rsidRPr="00EC0AC7">
        <w:rPr>
          <w:rFonts w:eastAsia="Times New Roman" w:cs="Times New Roman"/>
          <w:lang w:eastAsia="it-IT"/>
        </w:rPr>
        <w:t>in tutto o in parte</w:t>
      </w:r>
      <w:r w:rsidR="485175D3" w:rsidRPr="00EC0AC7">
        <w:rPr>
          <w:rFonts w:eastAsia="Times New Roman" w:cs="Times New Roman"/>
          <w:lang w:eastAsia="it-IT"/>
        </w:rPr>
        <w:t>,</w:t>
      </w:r>
      <w:r w:rsidR="0088515A" w:rsidRPr="00EC0AC7">
        <w:rPr>
          <w:rFonts w:eastAsia="Times New Roman" w:cs="Times New Roman"/>
          <w:lang w:eastAsia="it-IT"/>
        </w:rPr>
        <w:t xml:space="preserve"> le attività a lui </w:t>
      </w:r>
      <w:r w:rsidR="6132A937" w:rsidRPr="00EC0AC7">
        <w:rPr>
          <w:rFonts w:eastAsia="Times New Roman" w:cs="Times New Roman"/>
          <w:lang w:eastAsia="it-IT"/>
        </w:rPr>
        <w:t>affidate</w:t>
      </w:r>
      <w:r w:rsidR="58D3EB84" w:rsidRPr="00EC0AC7">
        <w:rPr>
          <w:rFonts w:eastAsia="Times New Roman" w:cs="Times New Roman"/>
          <w:lang w:eastAsia="it-IT"/>
        </w:rPr>
        <w:t>.</w:t>
      </w:r>
    </w:p>
    <w:p w14:paraId="36EF8B4F" w14:textId="77777777" w:rsidR="0088515A" w:rsidRPr="006F0EA1" w:rsidRDefault="0088515A" w:rsidP="0088515A">
      <w:pPr>
        <w:spacing w:after="0" w:line="240" w:lineRule="auto"/>
        <w:ind w:left="360"/>
        <w:jc w:val="both"/>
        <w:rPr>
          <w:rFonts w:eastAsia="Times New Roman" w:cs="Times New Roman"/>
          <w:lang w:eastAsia="it-IT"/>
        </w:rPr>
      </w:pPr>
    </w:p>
    <w:p w14:paraId="1EC0317D" w14:textId="57461F00" w:rsidR="0088515A" w:rsidRPr="006F0EA1" w:rsidRDefault="006F0EA1" w:rsidP="0A51BB67">
      <w:pPr>
        <w:spacing w:after="0" w:line="240" w:lineRule="auto"/>
        <w:rPr>
          <w:rFonts w:eastAsia="Times New Roman" w:cs="Times New Roman"/>
          <w:b/>
          <w:bCs/>
          <w:color w:val="0070C0"/>
          <w:lang w:eastAsia="it-IT"/>
        </w:rPr>
      </w:pPr>
      <w:r w:rsidRPr="0A51BB67">
        <w:rPr>
          <w:rFonts w:eastAsia="Times New Roman" w:cs="Times New Roman"/>
          <w:b/>
          <w:bCs/>
          <w:color w:val="0070C0"/>
          <w:lang w:eastAsia="it-IT"/>
        </w:rPr>
        <w:t>1.</w:t>
      </w:r>
      <w:r w:rsidR="0011738A" w:rsidRPr="0A51BB67">
        <w:rPr>
          <w:rFonts w:eastAsia="Times New Roman" w:cs="Times New Roman"/>
          <w:b/>
          <w:bCs/>
          <w:color w:val="0070C0"/>
          <w:lang w:eastAsia="it-IT"/>
        </w:rPr>
        <w:t>2</w:t>
      </w:r>
      <w:r w:rsidRPr="0A51BB67">
        <w:rPr>
          <w:rFonts w:eastAsia="Times New Roman" w:cs="Times New Roman"/>
          <w:b/>
          <w:bCs/>
          <w:color w:val="0070C0"/>
          <w:lang w:eastAsia="it-IT"/>
        </w:rPr>
        <w:t xml:space="preserve">   </w:t>
      </w:r>
      <w:r w:rsidR="0088515A" w:rsidRPr="0A51BB67">
        <w:rPr>
          <w:rFonts w:eastAsia="Times New Roman" w:cs="Times New Roman"/>
          <w:b/>
          <w:bCs/>
          <w:color w:val="0070C0"/>
          <w:lang w:eastAsia="it-IT"/>
        </w:rPr>
        <w:t xml:space="preserve">Procedure per l’acquisizione </w:t>
      </w:r>
      <w:r w:rsidR="000F0E78">
        <w:rPr>
          <w:rFonts w:eastAsia="Times New Roman" w:cs="Times New Roman"/>
          <w:b/>
          <w:bCs/>
          <w:color w:val="0070C0"/>
          <w:lang w:eastAsia="it-IT"/>
        </w:rPr>
        <w:t xml:space="preserve">di servizi (o lavori o forniture) </w:t>
      </w:r>
      <w:r w:rsidR="0A158A15" w:rsidRPr="0A51BB67">
        <w:rPr>
          <w:rFonts w:eastAsia="Times New Roman" w:cs="Times New Roman"/>
          <w:b/>
          <w:bCs/>
          <w:color w:val="0070C0"/>
          <w:lang w:eastAsia="it-IT"/>
        </w:rPr>
        <w:t>da terzi</w:t>
      </w:r>
      <w:r w:rsidR="000F0E78">
        <w:rPr>
          <w:rFonts w:eastAsia="Times New Roman" w:cs="Times New Roman"/>
          <w:b/>
          <w:bCs/>
          <w:color w:val="0070C0"/>
          <w:lang w:eastAsia="it-IT"/>
        </w:rPr>
        <w:t xml:space="preserve"> </w:t>
      </w:r>
    </w:p>
    <w:p w14:paraId="3AEF8362" w14:textId="77777777" w:rsidR="006E166C" w:rsidRPr="006F0EA1" w:rsidRDefault="006E166C" w:rsidP="00CE6269">
      <w:pPr>
        <w:spacing w:before="120" w:after="120" w:line="240" w:lineRule="auto"/>
        <w:jc w:val="both"/>
        <w:rPr>
          <w:rFonts w:eastAsia="Times New Roman" w:cs="Times New Roman"/>
          <w:bCs/>
          <w:lang w:eastAsia="it-IT"/>
        </w:rPr>
      </w:pPr>
      <w:r w:rsidRPr="006F0EA1">
        <w:rPr>
          <w:rFonts w:eastAsia="Times New Roman" w:cs="Times New Roman"/>
          <w:bCs/>
          <w:lang w:eastAsia="it-IT"/>
        </w:rPr>
        <w:t xml:space="preserve">Le procedure che il beneficiario dell’operazione deve seguire per l’affidamento di lavori, beni e servizi a soggetti terzi sono definite dall’Autorità di Gestione nei propri atti di programmazione e linee guida di rendicontazione. </w:t>
      </w:r>
    </w:p>
    <w:p w14:paraId="11901E92" w14:textId="0BE2C939" w:rsidR="008F543F" w:rsidRDefault="1CABA5ED" w:rsidP="00CE6269">
      <w:pPr>
        <w:spacing w:before="120" w:after="120" w:line="240" w:lineRule="auto"/>
        <w:jc w:val="both"/>
        <w:rPr>
          <w:rFonts w:eastAsia="Times New Roman" w:cs="Times New Roman"/>
          <w:lang w:eastAsia="it-IT"/>
        </w:rPr>
      </w:pPr>
      <w:r w:rsidRPr="5B33DAD5">
        <w:rPr>
          <w:rFonts w:eastAsia="Times New Roman" w:cs="Times New Roman"/>
          <w:lang w:eastAsia="it-IT"/>
        </w:rPr>
        <w:t>Pertanto, n</w:t>
      </w:r>
      <w:r w:rsidR="3255B60A" w:rsidRPr="5B33DAD5">
        <w:rPr>
          <w:rFonts w:eastAsia="Times New Roman" w:cs="Times New Roman"/>
          <w:lang w:eastAsia="it-IT"/>
        </w:rPr>
        <w:t>ella scelta del</w:t>
      </w:r>
      <w:r w:rsidR="06F649C1" w:rsidRPr="5B33DAD5">
        <w:rPr>
          <w:rFonts w:eastAsia="Times New Roman" w:cs="Times New Roman"/>
          <w:lang w:eastAsia="it-IT"/>
        </w:rPr>
        <w:t>l’affidatario</w:t>
      </w:r>
      <w:r w:rsidR="3255B60A" w:rsidRPr="5B33DAD5">
        <w:rPr>
          <w:rFonts w:eastAsia="Times New Roman" w:cs="Times New Roman"/>
          <w:lang w:eastAsia="it-IT"/>
        </w:rPr>
        <w:t xml:space="preserve"> della fornitura</w:t>
      </w:r>
      <w:r w:rsidR="06F649C1" w:rsidRPr="5B33DAD5">
        <w:rPr>
          <w:rFonts w:eastAsia="Times New Roman" w:cs="Times New Roman"/>
          <w:lang w:eastAsia="it-IT"/>
        </w:rPr>
        <w:t>, lavoro</w:t>
      </w:r>
      <w:r w:rsidR="3255B60A" w:rsidRPr="5B33DAD5">
        <w:rPr>
          <w:rFonts w:eastAsia="Times New Roman" w:cs="Times New Roman"/>
          <w:lang w:eastAsia="it-IT"/>
        </w:rPr>
        <w:t xml:space="preserve"> o del servizio da acquisire, il beneficiario del finanziamento, nel caso in cui questo non si</w:t>
      </w:r>
      <w:r w:rsidRPr="5B33DAD5">
        <w:rPr>
          <w:rFonts w:eastAsia="Times New Roman" w:cs="Times New Roman"/>
          <w:lang w:eastAsia="it-IT"/>
        </w:rPr>
        <w:t>a soggetto</w:t>
      </w:r>
      <w:r w:rsidR="3255B60A" w:rsidRPr="5B33DAD5">
        <w:rPr>
          <w:rFonts w:eastAsia="Times New Roman" w:cs="Times New Roman"/>
          <w:lang w:eastAsia="it-IT"/>
        </w:rPr>
        <w:t xml:space="preserve"> </w:t>
      </w:r>
      <w:r w:rsidRPr="5B33DAD5">
        <w:rPr>
          <w:rFonts w:eastAsia="Times New Roman" w:cs="Times New Roman"/>
          <w:lang w:eastAsia="it-IT"/>
        </w:rPr>
        <w:t>all’applicazione delle</w:t>
      </w:r>
      <w:r w:rsidR="3255B60A" w:rsidRPr="5B33DAD5">
        <w:rPr>
          <w:rFonts w:eastAsia="Times New Roman" w:cs="Times New Roman"/>
          <w:lang w:eastAsia="it-IT"/>
        </w:rPr>
        <w:t xml:space="preserve"> norme previste dal Codice dei contratti pubblici </w:t>
      </w:r>
      <w:r w:rsidR="3F2B93E3" w:rsidRPr="00753397">
        <w:rPr>
          <w:rFonts w:eastAsia="Times New Roman" w:cs="Times New Roman"/>
          <w:lang w:eastAsia="it-IT"/>
        </w:rPr>
        <w:t>D. LGS. 36/2023</w:t>
      </w:r>
      <w:r w:rsidR="3255B60A" w:rsidRPr="00753397">
        <w:rPr>
          <w:rFonts w:eastAsia="Times New Roman" w:cs="Times New Roman"/>
          <w:lang w:eastAsia="it-IT"/>
        </w:rPr>
        <w:t>,</w:t>
      </w:r>
      <w:r w:rsidR="3255B60A" w:rsidRPr="5B33DAD5">
        <w:rPr>
          <w:rFonts w:eastAsia="Times New Roman" w:cs="Times New Roman"/>
          <w:lang w:eastAsia="it-IT"/>
        </w:rPr>
        <w:t xml:space="preserve"> segue </w:t>
      </w:r>
      <w:r w:rsidR="254A5CB8" w:rsidRPr="5B33DAD5">
        <w:rPr>
          <w:rFonts w:eastAsia="Times New Roman" w:cs="Times New Roman"/>
          <w:lang w:eastAsia="it-IT"/>
        </w:rPr>
        <w:t xml:space="preserve">le </w:t>
      </w:r>
      <w:r w:rsidR="3255B60A" w:rsidRPr="5B33DAD5">
        <w:rPr>
          <w:rFonts w:eastAsia="Times New Roman" w:cs="Times New Roman"/>
          <w:lang w:eastAsia="it-IT"/>
        </w:rPr>
        <w:t>procedure</w:t>
      </w:r>
      <w:r w:rsidR="254A5CB8" w:rsidRPr="5B33DAD5">
        <w:rPr>
          <w:rFonts w:eastAsia="Times New Roman" w:cs="Times New Roman"/>
          <w:lang w:eastAsia="it-IT"/>
        </w:rPr>
        <w:t xml:space="preserve"> previste dall’AdG</w:t>
      </w:r>
      <w:r w:rsidRPr="5B33DAD5">
        <w:rPr>
          <w:rFonts w:eastAsia="Times New Roman" w:cs="Times New Roman"/>
          <w:lang w:eastAsia="it-IT"/>
        </w:rPr>
        <w:t>, che</w:t>
      </w:r>
      <w:r w:rsidR="38881DF5" w:rsidRPr="5B33DAD5">
        <w:rPr>
          <w:rFonts w:eastAsia="Times New Roman" w:cs="Times New Roman"/>
          <w:lang w:eastAsia="it-IT"/>
        </w:rPr>
        <w:t xml:space="preserve">, </w:t>
      </w:r>
      <w:r w:rsidRPr="5B33DAD5">
        <w:rPr>
          <w:rFonts w:eastAsia="Times New Roman" w:cs="Times New Roman"/>
          <w:lang w:eastAsia="it-IT"/>
        </w:rPr>
        <w:t>in via analogica</w:t>
      </w:r>
      <w:r w:rsidR="38881DF5" w:rsidRPr="5B33DAD5">
        <w:rPr>
          <w:rFonts w:eastAsia="Times New Roman" w:cs="Times New Roman"/>
          <w:lang w:eastAsia="it-IT"/>
        </w:rPr>
        <w:t xml:space="preserve">, </w:t>
      </w:r>
      <w:r w:rsidRPr="5B33DAD5">
        <w:rPr>
          <w:rFonts w:eastAsia="Times New Roman" w:cs="Times New Roman"/>
          <w:lang w:eastAsia="it-IT"/>
        </w:rPr>
        <w:t xml:space="preserve">possono essere </w:t>
      </w:r>
      <w:r w:rsidRPr="5B33DAD5">
        <w:rPr>
          <w:rFonts w:eastAsia="Times New Roman" w:cs="Times New Roman"/>
          <w:lang w:eastAsia="it-IT"/>
        </w:rPr>
        <w:lastRenderedPageBreak/>
        <w:t xml:space="preserve">diversificate in relazione al valore complessivo dell’affidamento stesso, </w:t>
      </w:r>
      <w:r w:rsidR="152BBD6A" w:rsidRPr="5B33DAD5">
        <w:rPr>
          <w:rFonts w:eastAsia="Times New Roman" w:cs="Times New Roman"/>
          <w:lang w:eastAsia="it-IT"/>
        </w:rPr>
        <w:t xml:space="preserve">ed </w:t>
      </w:r>
      <w:r w:rsidR="00541792">
        <w:rPr>
          <w:rFonts w:eastAsia="Times New Roman" w:cs="Times New Roman"/>
          <w:lang w:eastAsia="it-IT"/>
        </w:rPr>
        <w:t>is</w:t>
      </w:r>
      <w:r w:rsidRPr="5B33DAD5">
        <w:rPr>
          <w:rFonts w:eastAsia="Times New Roman" w:cs="Times New Roman"/>
          <w:lang w:eastAsia="it-IT"/>
        </w:rPr>
        <w:t>pirarsi ai principi di economicità, efficacia, imparzialità, parità di trattamento, trasparenza, proporzionalità, pubblicità, rotazione e</w:t>
      </w:r>
      <w:r w:rsidR="152BBD6A" w:rsidRPr="5B33DAD5">
        <w:rPr>
          <w:rFonts w:eastAsia="Times New Roman" w:cs="Times New Roman"/>
          <w:lang w:eastAsia="it-IT"/>
        </w:rPr>
        <w:t>d</w:t>
      </w:r>
      <w:r w:rsidR="38881DF5" w:rsidRPr="5B33DAD5">
        <w:rPr>
          <w:rFonts w:eastAsia="Times New Roman" w:cs="Times New Roman"/>
          <w:lang w:eastAsia="it-IT"/>
        </w:rPr>
        <w:t xml:space="preserve"> </w:t>
      </w:r>
      <w:r w:rsidRPr="5B33DAD5">
        <w:rPr>
          <w:rFonts w:eastAsia="Times New Roman" w:cs="Times New Roman"/>
          <w:lang w:eastAsia="it-IT"/>
        </w:rPr>
        <w:t>essere strutturate in modo da assicurare l'effettiva possibilità di partecipazione delle microimprese, piccole e medie imprese.</w:t>
      </w:r>
    </w:p>
    <w:p w14:paraId="47380527" w14:textId="6513BF7C" w:rsidR="000F0E78" w:rsidRPr="00EC0AC7" w:rsidRDefault="002449BD" w:rsidP="00CE6269">
      <w:pPr>
        <w:spacing w:before="120" w:after="120" w:line="240" w:lineRule="auto"/>
        <w:jc w:val="both"/>
        <w:rPr>
          <w:rFonts w:eastAsia="Times New Roman" w:cs="Times New Roman"/>
          <w:lang w:eastAsia="it-IT"/>
        </w:rPr>
      </w:pPr>
      <w:r w:rsidRPr="00EC0AC7">
        <w:rPr>
          <w:rFonts w:eastAsia="Times New Roman" w:cs="Times New Roman"/>
          <w:lang w:eastAsia="it-IT"/>
        </w:rPr>
        <w:t>Qualora tali acquisizioni d</w:t>
      </w:r>
      <w:r w:rsidR="00B5689D" w:rsidRPr="00EC0AC7">
        <w:rPr>
          <w:rFonts w:eastAsia="Times New Roman" w:cs="Times New Roman"/>
          <w:lang w:eastAsia="it-IT"/>
        </w:rPr>
        <w:t>iano</w:t>
      </w:r>
      <w:r w:rsidRPr="00EC0AC7">
        <w:rPr>
          <w:rFonts w:eastAsia="Times New Roman" w:cs="Times New Roman"/>
          <w:lang w:eastAsia="it-IT"/>
        </w:rPr>
        <w:t xml:space="preserve"> luogo a spese che sono oggetto di costi semplificati (UCS, SF e costi di base del tasso forfettario diversi da</w:t>
      </w:r>
      <w:r w:rsidR="00B5689D" w:rsidRPr="00EC0AC7">
        <w:rPr>
          <w:rFonts w:eastAsia="Times New Roman" w:cs="Times New Roman"/>
          <w:lang w:eastAsia="it-IT"/>
        </w:rPr>
        <w:t xml:space="preserve">i </w:t>
      </w:r>
      <w:r w:rsidRPr="00EC0AC7">
        <w:rPr>
          <w:rFonts w:eastAsia="Times New Roman" w:cs="Times New Roman"/>
          <w:lang w:eastAsia="it-IT"/>
        </w:rPr>
        <w:t>costi reali), la conformità della procedura di affidamento non è strettamente rilevante ai fini dell’ammissibilità.</w:t>
      </w:r>
    </w:p>
    <w:p w14:paraId="60F183F4" w14:textId="77777777" w:rsidR="008F543F" w:rsidRPr="006F0EA1" w:rsidRDefault="008F543F" w:rsidP="0088515A">
      <w:pPr>
        <w:spacing w:after="0" w:line="240" w:lineRule="auto"/>
        <w:jc w:val="both"/>
        <w:rPr>
          <w:rFonts w:eastAsia="Times New Roman" w:cs="Times New Roman"/>
          <w:lang w:eastAsia="it-IT"/>
        </w:rPr>
      </w:pPr>
    </w:p>
    <w:p w14:paraId="2C601B55" w14:textId="77777777" w:rsidR="00A84701" w:rsidRPr="006F0EA1" w:rsidRDefault="00A84701" w:rsidP="0088515A">
      <w:pPr>
        <w:spacing w:after="0" w:line="240" w:lineRule="auto"/>
        <w:jc w:val="both"/>
        <w:rPr>
          <w:rFonts w:eastAsia="Times New Roman" w:cs="Times New Roman"/>
          <w:lang w:eastAsia="it-IT"/>
        </w:rPr>
      </w:pPr>
    </w:p>
    <w:p w14:paraId="7E0550BC" w14:textId="77777777" w:rsidR="00B93A6F" w:rsidRPr="006F0EA1" w:rsidRDefault="00B93A6F" w:rsidP="008F543F">
      <w:pPr>
        <w:spacing w:after="0" w:line="240" w:lineRule="auto"/>
        <w:jc w:val="both"/>
      </w:pPr>
    </w:p>
    <w:sectPr w:rsidR="00B93A6F" w:rsidRPr="006F0EA1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9652ED" w14:textId="77777777" w:rsidR="00B62C3D" w:rsidRDefault="00B62C3D" w:rsidP="0088515A">
      <w:pPr>
        <w:spacing w:after="0" w:line="240" w:lineRule="auto"/>
      </w:pPr>
      <w:r>
        <w:separator/>
      </w:r>
    </w:p>
  </w:endnote>
  <w:endnote w:type="continuationSeparator" w:id="0">
    <w:p w14:paraId="0A126900" w14:textId="77777777" w:rsidR="00B62C3D" w:rsidRDefault="00B62C3D" w:rsidP="008851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90765452"/>
      <w:docPartObj>
        <w:docPartGallery w:val="Page Numbers (Bottom of Page)"/>
        <w:docPartUnique/>
      </w:docPartObj>
    </w:sdtPr>
    <w:sdtEndPr/>
    <w:sdtContent>
      <w:p w14:paraId="6A381D2E" w14:textId="77777777" w:rsidR="00D86706" w:rsidRDefault="00D86706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3560">
          <w:rPr>
            <w:noProof/>
          </w:rPr>
          <w:t>3</w:t>
        </w:r>
        <w:r>
          <w:fldChar w:fldCharType="end"/>
        </w:r>
      </w:p>
    </w:sdtContent>
  </w:sdt>
  <w:p w14:paraId="05C45710" w14:textId="77777777" w:rsidR="00D86706" w:rsidRDefault="00D8670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4BD9CB" w14:textId="77777777" w:rsidR="00B62C3D" w:rsidRDefault="00B62C3D" w:rsidP="0088515A">
      <w:pPr>
        <w:spacing w:after="0" w:line="240" w:lineRule="auto"/>
      </w:pPr>
      <w:r>
        <w:separator/>
      </w:r>
    </w:p>
  </w:footnote>
  <w:footnote w:type="continuationSeparator" w:id="0">
    <w:p w14:paraId="466DA987" w14:textId="77777777" w:rsidR="00B62C3D" w:rsidRDefault="00B62C3D" w:rsidP="008851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140B3A"/>
    <w:multiLevelType w:val="hybridMultilevel"/>
    <w:tmpl w:val="BF72ED76"/>
    <w:lvl w:ilvl="0" w:tplc="5C9091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8C7FB5"/>
    <w:multiLevelType w:val="hybridMultilevel"/>
    <w:tmpl w:val="512ED0EC"/>
    <w:lvl w:ilvl="0" w:tplc="5C9091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CD2A4E"/>
    <w:multiLevelType w:val="multilevel"/>
    <w:tmpl w:val="73F4F2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1AB0D26"/>
    <w:multiLevelType w:val="hybridMultilevel"/>
    <w:tmpl w:val="3482A83E"/>
    <w:lvl w:ilvl="0" w:tplc="5C9091F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B451E8D"/>
    <w:multiLevelType w:val="hybridMultilevel"/>
    <w:tmpl w:val="59A0A748"/>
    <w:lvl w:ilvl="0" w:tplc="61128C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55077C"/>
    <w:multiLevelType w:val="multilevel"/>
    <w:tmpl w:val="C6A2AD2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76B31149"/>
    <w:multiLevelType w:val="multilevel"/>
    <w:tmpl w:val="A8E617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96339748">
    <w:abstractNumId w:val="3"/>
  </w:num>
  <w:num w:numId="2" w16cid:durableId="773212494">
    <w:abstractNumId w:val="5"/>
  </w:num>
  <w:num w:numId="3" w16cid:durableId="1569799418">
    <w:abstractNumId w:val="0"/>
  </w:num>
  <w:num w:numId="4" w16cid:durableId="1292859657">
    <w:abstractNumId w:val="1"/>
  </w:num>
  <w:num w:numId="5" w16cid:durableId="360595287">
    <w:abstractNumId w:val="2"/>
  </w:num>
  <w:num w:numId="6" w16cid:durableId="1225023517">
    <w:abstractNumId w:val="6"/>
  </w:num>
  <w:num w:numId="7" w16cid:durableId="205802100">
    <w:abstractNumId w:val="0"/>
  </w:num>
  <w:num w:numId="8" w16cid:durableId="173191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515A"/>
    <w:rsid w:val="000070DA"/>
    <w:rsid w:val="0001069E"/>
    <w:rsid w:val="00021048"/>
    <w:rsid w:val="00034D45"/>
    <w:rsid w:val="00052185"/>
    <w:rsid w:val="000810F6"/>
    <w:rsid w:val="00083A22"/>
    <w:rsid w:val="000847F1"/>
    <w:rsid w:val="00090270"/>
    <w:rsid w:val="000A466D"/>
    <w:rsid w:val="000B200C"/>
    <w:rsid w:val="000B6C7C"/>
    <w:rsid w:val="000C2FB5"/>
    <w:rsid w:val="000C7A72"/>
    <w:rsid w:val="000E4C1C"/>
    <w:rsid w:val="000E701E"/>
    <w:rsid w:val="000F0E78"/>
    <w:rsid w:val="00111FD2"/>
    <w:rsid w:val="0011738A"/>
    <w:rsid w:val="00122D5B"/>
    <w:rsid w:val="00136E5B"/>
    <w:rsid w:val="00160C2F"/>
    <w:rsid w:val="00196E76"/>
    <w:rsid w:val="001A6F65"/>
    <w:rsid w:val="001C42A1"/>
    <w:rsid w:val="001C696B"/>
    <w:rsid w:val="001E0FA7"/>
    <w:rsid w:val="001E1244"/>
    <w:rsid w:val="001E5E1C"/>
    <w:rsid w:val="001F3199"/>
    <w:rsid w:val="001F5175"/>
    <w:rsid w:val="002009A8"/>
    <w:rsid w:val="002313DC"/>
    <w:rsid w:val="002449BD"/>
    <w:rsid w:val="002554CF"/>
    <w:rsid w:val="00281542"/>
    <w:rsid w:val="002D3560"/>
    <w:rsid w:val="002D4114"/>
    <w:rsid w:val="002D64D6"/>
    <w:rsid w:val="002E5DC5"/>
    <w:rsid w:val="002E6F70"/>
    <w:rsid w:val="002F473C"/>
    <w:rsid w:val="003058CA"/>
    <w:rsid w:val="003150BE"/>
    <w:rsid w:val="00315B67"/>
    <w:rsid w:val="00335437"/>
    <w:rsid w:val="00363242"/>
    <w:rsid w:val="003D486F"/>
    <w:rsid w:val="003F7C87"/>
    <w:rsid w:val="0041321D"/>
    <w:rsid w:val="00417AFE"/>
    <w:rsid w:val="00424EA0"/>
    <w:rsid w:val="00464E88"/>
    <w:rsid w:val="0047091A"/>
    <w:rsid w:val="004A060B"/>
    <w:rsid w:val="004A2CB2"/>
    <w:rsid w:val="004A3365"/>
    <w:rsid w:val="004E7BA2"/>
    <w:rsid w:val="00511E40"/>
    <w:rsid w:val="0052188B"/>
    <w:rsid w:val="00541792"/>
    <w:rsid w:val="005477AB"/>
    <w:rsid w:val="00556292"/>
    <w:rsid w:val="00557ED5"/>
    <w:rsid w:val="00562C50"/>
    <w:rsid w:val="005F2986"/>
    <w:rsid w:val="005F47D5"/>
    <w:rsid w:val="005F694D"/>
    <w:rsid w:val="00630D06"/>
    <w:rsid w:val="00636A5E"/>
    <w:rsid w:val="00647855"/>
    <w:rsid w:val="00651281"/>
    <w:rsid w:val="00654478"/>
    <w:rsid w:val="00654BE6"/>
    <w:rsid w:val="00693E9F"/>
    <w:rsid w:val="006A497B"/>
    <w:rsid w:val="006B39A6"/>
    <w:rsid w:val="006C344D"/>
    <w:rsid w:val="006E166C"/>
    <w:rsid w:val="006F0EA1"/>
    <w:rsid w:val="00706B39"/>
    <w:rsid w:val="0072027A"/>
    <w:rsid w:val="00753397"/>
    <w:rsid w:val="00764ADC"/>
    <w:rsid w:val="00775A8E"/>
    <w:rsid w:val="00790B45"/>
    <w:rsid w:val="007D68A0"/>
    <w:rsid w:val="0081742B"/>
    <w:rsid w:val="0082003C"/>
    <w:rsid w:val="00823616"/>
    <w:rsid w:val="008435C8"/>
    <w:rsid w:val="008455E5"/>
    <w:rsid w:val="008804E2"/>
    <w:rsid w:val="0088515A"/>
    <w:rsid w:val="00885A87"/>
    <w:rsid w:val="008B3BED"/>
    <w:rsid w:val="008C504B"/>
    <w:rsid w:val="008D1EA8"/>
    <w:rsid w:val="008E38EF"/>
    <w:rsid w:val="008F543F"/>
    <w:rsid w:val="0092202A"/>
    <w:rsid w:val="00931765"/>
    <w:rsid w:val="0094590D"/>
    <w:rsid w:val="00974FB5"/>
    <w:rsid w:val="00984CE3"/>
    <w:rsid w:val="00990A05"/>
    <w:rsid w:val="009E2468"/>
    <w:rsid w:val="009F282A"/>
    <w:rsid w:val="009F300C"/>
    <w:rsid w:val="00A2566E"/>
    <w:rsid w:val="00A50356"/>
    <w:rsid w:val="00A80B97"/>
    <w:rsid w:val="00A84701"/>
    <w:rsid w:val="00A93402"/>
    <w:rsid w:val="00AD1A64"/>
    <w:rsid w:val="00B22421"/>
    <w:rsid w:val="00B24609"/>
    <w:rsid w:val="00B4231E"/>
    <w:rsid w:val="00B5689D"/>
    <w:rsid w:val="00B56E5F"/>
    <w:rsid w:val="00B62C3D"/>
    <w:rsid w:val="00B67199"/>
    <w:rsid w:val="00B74680"/>
    <w:rsid w:val="00B77A34"/>
    <w:rsid w:val="00B93A6F"/>
    <w:rsid w:val="00BD2221"/>
    <w:rsid w:val="00BD677B"/>
    <w:rsid w:val="00BE28F8"/>
    <w:rsid w:val="00BE3815"/>
    <w:rsid w:val="00BE73AF"/>
    <w:rsid w:val="00C2190A"/>
    <w:rsid w:val="00C458A3"/>
    <w:rsid w:val="00C51AF6"/>
    <w:rsid w:val="00C54BCC"/>
    <w:rsid w:val="00C6360F"/>
    <w:rsid w:val="00C84B0B"/>
    <w:rsid w:val="00C93BFC"/>
    <w:rsid w:val="00CE2D04"/>
    <w:rsid w:val="00CE3486"/>
    <w:rsid w:val="00CE6269"/>
    <w:rsid w:val="00D13182"/>
    <w:rsid w:val="00D27DB2"/>
    <w:rsid w:val="00D4041A"/>
    <w:rsid w:val="00D837B0"/>
    <w:rsid w:val="00D86706"/>
    <w:rsid w:val="00DA0607"/>
    <w:rsid w:val="00DC0433"/>
    <w:rsid w:val="00DD45C9"/>
    <w:rsid w:val="00E17186"/>
    <w:rsid w:val="00E23655"/>
    <w:rsid w:val="00E40977"/>
    <w:rsid w:val="00E41EF9"/>
    <w:rsid w:val="00E46854"/>
    <w:rsid w:val="00E51C61"/>
    <w:rsid w:val="00E83B73"/>
    <w:rsid w:val="00EA0461"/>
    <w:rsid w:val="00EA653D"/>
    <w:rsid w:val="00EC0AC7"/>
    <w:rsid w:val="00EC1AE8"/>
    <w:rsid w:val="00EC2B6F"/>
    <w:rsid w:val="00ED549D"/>
    <w:rsid w:val="00ED6706"/>
    <w:rsid w:val="00EE63D4"/>
    <w:rsid w:val="00F043E6"/>
    <w:rsid w:val="00F05E80"/>
    <w:rsid w:val="00F4432A"/>
    <w:rsid w:val="00F473E5"/>
    <w:rsid w:val="00F87FE1"/>
    <w:rsid w:val="00F97A45"/>
    <w:rsid w:val="00FB63DF"/>
    <w:rsid w:val="00FE3211"/>
    <w:rsid w:val="00FE4C80"/>
    <w:rsid w:val="00FF4CC9"/>
    <w:rsid w:val="00FF51C3"/>
    <w:rsid w:val="00FF68AF"/>
    <w:rsid w:val="01DC5763"/>
    <w:rsid w:val="05C69267"/>
    <w:rsid w:val="0634ACE1"/>
    <w:rsid w:val="06F649C1"/>
    <w:rsid w:val="0717FB9D"/>
    <w:rsid w:val="0A158A15"/>
    <w:rsid w:val="0A51BB67"/>
    <w:rsid w:val="0BBAAD9E"/>
    <w:rsid w:val="0DD90794"/>
    <w:rsid w:val="0EF92ACD"/>
    <w:rsid w:val="0F0F3DF3"/>
    <w:rsid w:val="106B6E0D"/>
    <w:rsid w:val="10E789DA"/>
    <w:rsid w:val="12E8EAAE"/>
    <w:rsid w:val="1413CA8A"/>
    <w:rsid w:val="152BBD6A"/>
    <w:rsid w:val="1551F36F"/>
    <w:rsid w:val="1667A6D4"/>
    <w:rsid w:val="16AA18D9"/>
    <w:rsid w:val="19D007D5"/>
    <w:rsid w:val="1B5D8470"/>
    <w:rsid w:val="1B842AD7"/>
    <w:rsid w:val="1C69D7CA"/>
    <w:rsid w:val="1C9F5098"/>
    <w:rsid w:val="1CABA5ED"/>
    <w:rsid w:val="1DE800DF"/>
    <w:rsid w:val="22A90E9A"/>
    <w:rsid w:val="254A5CB8"/>
    <w:rsid w:val="26915C1F"/>
    <w:rsid w:val="26BDC2DD"/>
    <w:rsid w:val="284ECCC9"/>
    <w:rsid w:val="290EC336"/>
    <w:rsid w:val="2BC3E476"/>
    <w:rsid w:val="2CF7CCAA"/>
    <w:rsid w:val="2D2FB94E"/>
    <w:rsid w:val="2E1EBF33"/>
    <w:rsid w:val="30EFD051"/>
    <w:rsid w:val="3255B60A"/>
    <w:rsid w:val="331E3568"/>
    <w:rsid w:val="38881DF5"/>
    <w:rsid w:val="393C3E07"/>
    <w:rsid w:val="3C38B27D"/>
    <w:rsid w:val="3F2B93E3"/>
    <w:rsid w:val="4056DC91"/>
    <w:rsid w:val="41CDB805"/>
    <w:rsid w:val="41E3265E"/>
    <w:rsid w:val="432683CF"/>
    <w:rsid w:val="451399C4"/>
    <w:rsid w:val="45C1C48F"/>
    <w:rsid w:val="474E99FD"/>
    <w:rsid w:val="47D10ABF"/>
    <w:rsid w:val="483AC0D4"/>
    <w:rsid w:val="485175D3"/>
    <w:rsid w:val="4B9B92F3"/>
    <w:rsid w:val="52D41088"/>
    <w:rsid w:val="52F38B2F"/>
    <w:rsid w:val="55BAF444"/>
    <w:rsid w:val="572D88E4"/>
    <w:rsid w:val="58D3EB84"/>
    <w:rsid w:val="59718144"/>
    <w:rsid w:val="5B33DAD5"/>
    <w:rsid w:val="5B896189"/>
    <w:rsid w:val="5E02EF4C"/>
    <w:rsid w:val="6132A937"/>
    <w:rsid w:val="625D2939"/>
    <w:rsid w:val="63464216"/>
    <w:rsid w:val="642AAB7B"/>
    <w:rsid w:val="64A3BC43"/>
    <w:rsid w:val="651657D0"/>
    <w:rsid w:val="68DED600"/>
    <w:rsid w:val="6AA87EE7"/>
    <w:rsid w:val="6C540013"/>
    <w:rsid w:val="6CF4A179"/>
    <w:rsid w:val="6DD6F746"/>
    <w:rsid w:val="712E6658"/>
    <w:rsid w:val="7133026F"/>
    <w:rsid w:val="7297EE2A"/>
    <w:rsid w:val="7535D913"/>
    <w:rsid w:val="76FB5FB1"/>
    <w:rsid w:val="77B8B8B2"/>
    <w:rsid w:val="78B95151"/>
    <w:rsid w:val="7C449E33"/>
    <w:rsid w:val="7D002879"/>
    <w:rsid w:val="7D70AF23"/>
    <w:rsid w:val="7F1E0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28F4FD"/>
  <w15:docId w15:val="{D04F541B-9323-4F6C-9D31-408812521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semiHidden/>
    <w:rsid w:val="008851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8515A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semiHidden/>
    <w:rsid w:val="0088515A"/>
    <w:rPr>
      <w:vertAlign w:val="superscript"/>
    </w:rPr>
  </w:style>
  <w:style w:type="table" w:styleId="Grigliatabella">
    <w:name w:val="Table Grid"/>
    <w:basedOn w:val="Tabellanormale"/>
    <w:uiPriority w:val="59"/>
    <w:rsid w:val="00B671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671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67199"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link w:val="CorpotestoCarattere"/>
    <w:rsid w:val="00A8470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A8470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D8670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86706"/>
  </w:style>
  <w:style w:type="paragraph" w:styleId="Pidipagina">
    <w:name w:val="footer"/>
    <w:basedOn w:val="Normale"/>
    <w:link w:val="PidipaginaCarattere"/>
    <w:uiPriority w:val="99"/>
    <w:unhideWhenUsed/>
    <w:rsid w:val="00D8670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86706"/>
  </w:style>
  <w:style w:type="character" w:styleId="Rimandocommento">
    <w:name w:val="annotation reference"/>
    <w:basedOn w:val="Carpredefinitoparagrafo"/>
    <w:uiPriority w:val="99"/>
    <w:semiHidden/>
    <w:unhideWhenUsed/>
    <w:rsid w:val="00E2365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E23655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E23655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2365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23655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E23655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764A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842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78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04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138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77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78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63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39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540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5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8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52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06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333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409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14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7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53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1203</Words>
  <Characters>6861</Characters>
  <Application>Microsoft Office Word</Application>
  <DocSecurity>0</DocSecurity>
  <Lines>57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MLPS</Company>
  <LinksUpToDate>false</LinksUpToDate>
  <CharactersWithSpaces>8048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xxxxx</dc:creator>
  <cp:keywords/>
  <dc:description/>
  <cp:lastModifiedBy>Michela Fagioli</cp:lastModifiedBy>
  <cp:revision>2</cp:revision>
  <dcterms:created xsi:type="dcterms:W3CDTF">2025-05-16T11:13:00Z</dcterms:created>
  <dcterms:modified xsi:type="dcterms:W3CDTF">2025-05-16T11:13:00Z</dcterms:modified>
</cp:coreProperties>
</file>